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LZ2025-26ZW的污水处理消毒剂项目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2025年7月24日15:30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15:15至15:25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医院污水处理用活性氧消毒剂的采购，年度使用量约为1000Kg。</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采购价格中还包含以下服务内容：1.污水PH值检测试纸的免费供应。2.自行或者委托有资质的其他公司，免费为医院办理环保部门与卫生行政主管部门要求的全部周、月、季度、半年、全年等周期检测检定项目；免费为医院办理《排污许可证》需要的检测检定项目；免费为医院实施相关网络直报和向医院提供所需要的纸质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2025年7月22日17:00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2025年7月17日</w:t>
      </w:r>
    </w:p>
    <w:p>
      <w:pPr>
        <w:rPr>
          <w:rFonts w:hint="eastAsia" w:ascii="仿宋_GB2312" w:hAnsi="仿宋_GB2312" w:eastAsia="仿宋_GB2312" w:cs="仿宋_GB2312"/>
          <w:b w:val="0"/>
          <w:bCs/>
          <w:color w:val="auto"/>
          <w:sz w:val="28"/>
          <w:szCs w:val="28"/>
          <w:lang w:val="en-US" w:eastAsia="zh-CN"/>
        </w:rPr>
      </w:pPr>
      <w:bookmarkStart w:id="0" w:name="_GoBack"/>
      <w:bookmarkEnd w:id="0"/>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68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2"/>
        <w:gridCol w:w="1035"/>
        <w:gridCol w:w="2685"/>
        <w:gridCol w:w="8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622"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消毒剂名称</w:t>
            </w:r>
          </w:p>
        </w:tc>
        <w:tc>
          <w:tcPr>
            <w:tcW w:w="103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型号</w:t>
            </w:r>
          </w:p>
        </w:tc>
        <w:tc>
          <w:tcPr>
            <w:tcW w:w="268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生产商</w:t>
            </w:r>
          </w:p>
        </w:tc>
        <w:tc>
          <w:tcPr>
            <w:tcW w:w="870"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单位</w:t>
            </w:r>
          </w:p>
        </w:tc>
        <w:tc>
          <w:tcPr>
            <w:tcW w:w="1470"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622" w:type="dxa"/>
            <w:vAlign w:val="center"/>
          </w:tcPr>
          <w:p>
            <w:pPr>
              <w:jc w:val="center"/>
              <w:rPr>
                <w:rFonts w:hint="eastAsia" w:ascii="仿宋_GB2312" w:hAnsi="仿宋_GB2312" w:eastAsia="仿宋_GB2312" w:cs="仿宋_GB2312"/>
                <w:sz w:val="24"/>
                <w:szCs w:val="24"/>
                <w:vertAlign w:val="baseline"/>
                <w:lang w:val="en-US" w:eastAsia="zh-CN"/>
              </w:rPr>
            </w:pPr>
          </w:p>
        </w:tc>
        <w:tc>
          <w:tcPr>
            <w:tcW w:w="1035" w:type="dxa"/>
            <w:vAlign w:val="center"/>
          </w:tcPr>
          <w:p>
            <w:pPr>
              <w:jc w:val="center"/>
              <w:rPr>
                <w:rFonts w:hint="eastAsia" w:ascii="仿宋_GB2312" w:hAnsi="仿宋_GB2312" w:eastAsia="仿宋_GB2312" w:cs="仿宋_GB2312"/>
                <w:sz w:val="24"/>
                <w:szCs w:val="24"/>
                <w:vertAlign w:val="baseline"/>
                <w:lang w:val="en-US" w:eastAsia="zh-CN"/>
              </w:rPr>
            </w:pPr>
          </w:p>
        </w:tc>
        <w:tc>
          <w:tcPr>
            <w:tcW w:w="2685" w:type="dxa"/>
            <w:vAlign w:val="center"/>
          </w:tcPr>
          <w:p>
            <w:pPr>
              <w:jc w:val="center"/>
              <w:rPr>
                <w:rFonts w:hint="eastAsia" w:ascii="仿宋_GB2312" w:hAnsi="仿宋_GB2312" w:eastAsia="仿宋_GB2312" w:cs="仿宋_GB2312"/>
                <w:sz w:val="24"/>
                <w:szCs w:val="24"/>
                <w:vertAlign w:val="baseline"/>
                <w:lang w:val="en-US" w:eastAsia="zh-CN"/>
              </w:rPr>
            </w:pPr>
          </w:p>
        </w:tc>
        <w:tc>
          <w:tcPr>
            <w:tcW w:w="87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Kg</w:t>
            </w:r>
          </w:p>
        </w:tc>
        <w:tc>
          <w:tcPr>
            <w:tcW w:w="147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9" w:hRule="atLeast"/>
        </w:trPr>
        <w:tc>
          <w:tcPr>
            <w:tcW w:w="8682" w:type="dxa"/>
            <w:gridSpan w:val="5"/>
            <w:vAlign w:val="top"/>
          </w:tcPr>
          <w:p>
            <w:pPr>
              <w:jc w:val="both"/>
              <w:rPr>
                <w:rFonts w:hint="eastAsia" w:ascii="仿宋_GB2312" w:hAnsi="仿宋_GB2312" w:eastAsia="仿宋_GB2312" w:cs="仿宋_GB2312"/>
                <w:sz w:val="24"/>
                <w:szCs w:val="24"/>
                <w:vertAlign w:val="baseline"/>
                <w:lang w:val="en-US" w:eastAsia="zh-CN"/>
              </w:rPr>
            </w:pPr>
          </w:p>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主要成分名称及含量的相关说明：</w:t>
            </w: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E441926"/>
    <w:rsid w:val="0E535960"/>
    <w:rsid w:val="0E5674D9"/>
    <w:rsid w:val="0E922492"/>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450FC9"/>
    <w:rsid w:val="1753483A"/>
    <w:rsid w:val="178F45DF"/>
    <w:rsid w:val="17C3113B"/>
    <w:rsid w:val="1940115E"/>
    <w:rsid w:val="19F52E2A"/>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BA0C74"/>
    <w:rsid w:val="20F60EBA"/>
    <w:rsid w:val="21A437E9"/>
    <w:rsid w:val="21BF55DE"/>
    <w:rsid w:val="21E03505"/>
    <w:rsid w:val="2293423E"/>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2FA74CC2"/>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7764B7D"/>
    <w:rsid w:val="57F26A33"/>
    <w:rsid w:val="58E75789"/>
    <w:rsid w:val="5967740F"/>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6EEA6D4F"/>
    <w:rsid w:val="6EF26DFE"/>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2025-07-16T23:59:16Z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