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bookmarkStart w:id="0" w:name="_GoBack"/>
      <w:bookmarkEnd w:id="0"/>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LZ2025-25SB的煎药机与汤剂包装机项目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2025年7月10日15:00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容量不小于20L的单锅煎药机1台，能满足“先煎”“后下”需求；与煎药机配套使用的汤剂包装机1台。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2025年7月8日17:00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2025年7月2日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3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035"/>
        <w:gridCol w:w="1770"/>
        <w:gridCol w:w="276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85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项目名称</w:t>
            </w:r>
          </w:p>
        </w:tc>
        <w:tc>
          <w:tcPr>
            <w:tcW w:w="103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数量</w:t>
            </w:r>
          </w:p>
        </w:tc>
        <w:tc>
          <w:tcPr>
            <w:tcW w:w="177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规格型号</w:t>
            </w:r>
          </w:p>
        </w:tc>
        <w:tc>
          <w:tcPr>
            <w:tcW w:w="276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生产商</w:t>
            </w:r>
          </w:p>
        </w:tc>
        <w:tc>
          <w:tcPr>
            <w:tcW w:w="121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价格</w:t>
            </w:r>
          </w:p>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85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煎药机</w:t>
            </w:r>
          </w:p>
        </w:tc>
        <w:tc>
          <w:tcPr>
            <w:tcW w:w="103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1台</w:t>
            </w:r>
          </w:p>
        </w:tc>
        <w:tc>
          <w:tcPr>
            <w:tcW w:w="177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76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21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857"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汤剂包装机</w:t>
            </w:r>
          </w:p>
        </w:tc>
        <w:tc>
          <w:tcPr>
            <w:tcW w:w="103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1台</w:t>
            </w:r>
          </w:p>
        </w:tc>
        <w:tc>
          <w:tcPr>
            <w:tcW w:w="177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2760"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121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422" w:type="dxa"/>
            <w:gridSpan w:val="4"/>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合计金额（万元）</w:t>
            </w:r>
          </w:p>
        </w:tc>
        <w:tc>
          <w:tcPr>
            <w:tcW w:w="1215" w:type="dxa"/>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对于报价的细化与追加说明（如有），如汤剂包装机需要使用专门包装耗材的，也在此详细说明耗材价格等相关内容：</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1E1607"/>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AE5367"/>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DE80892"/>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2025-06-30T02:03:33Z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