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LZ2025-19AG的监控等安保设施配件供应与维修服务项目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2025年6月5日14:30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医院年度监控等安保设施配件供应与维修服务。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2025年6月3日17:00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《报价单》使用模拟采购量加权计算，以总价进行评判，实际采购将签订单价合同。模拟采购量仅为供应商确定报价方案使用，且只代表医院预估的采购状况，医院不对未来的实际采购量进行承诺。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2025年5月28日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25" w:charSpace="0"/>
        </w:sect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以下产品全部要求为国标，价格包含安装调试费用</w:t>
      </w:r>
    </w:p>
    <w:tbl>
      <w:tblPr>
        <w:tblStyle w:val="11"/>
        <w:tblW w:w="14535" w:type="dxa"/>
        <w:tblInd w:w="-312" w:type="dxa"/>
        <w:shd w:val="clear" w:color="auto" w:fill="auto"/>
        <w:tblLayout w:type="fixed"/>
        <w:tblCellMar>
          <w:top w:w="0" w:type="dxa"/>
          <w:left w:w="0" w:type="dxa"/>
          <w:bottom w:w="0" w:type="dxa"/>
          <w:right w:w="0" w:type="dxa"/>
        </w:tblCellMar>
      </w:tblPr>
      <w:tblGrid>
        <w:gridCol w:w="600"/>
        <w:gridCol w:w="1890"/>
        <w:gridCol w:w="4800"/>
        <w:gridCol w:w="1545"/>
        <w:gridCol w:w="1571"/>
        <w:gridCol w:w="649"/>
        <w:gridCol w:w="735"/>
        <w:gridCol w:w="1185"/>
        <w:gridCol w:w="1560"/>
      </w:tblGrid>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名称</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要求</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品牌</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型号</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模拟</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snapToGrid w:val="0"/>
                <w:color w:val="000000"/>
                <w:kern w:val="0"/>
                <w:sz w:val="21"/>
                <w:szCs w:val="21"/>
                <w:u w:val="none"/>
                <w:lang w:val="en-US" w:eastAsia="zh-CN" w:bidi="ar"/>
              </w:rPr>
              <w:t>单价</w:t>
            </w:r>
            <w:r>
              <w:rPr>
                <w:rFonts w:hint="eastAsia" w:ascii="仿宋_GB2312" w:hAnsi="仿宋_GB2312" w:cs="仿宋_GB2312"/>
                <w:i w:val="0"/>
                <w:snapToGrid w:val="0"/>
                <w:color w:val="000000"/>
                <w:kern w:val="0"/>
                <w:sz w:val="21"/>
                <w:szCs w:val="21"/>
                <w:u w:val="none"/>
                <w:lang w:val="en-US" w:eastAsia="zh-CN" w:bidi="ar"/>
              </w:rPr>
              <w:t>（元）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snapToGrid w:val="0"/>
                <w:color w:val="000000"/>
                <w:kern w:val="0"/>
                <w:sz w:val="21"/>
                <w:szCs w:val="21"/>
                <w:u w:val="none"/>
                <w:lang w:val="en-US" w:eastAsia="zh-CN" w:bidi="ar"/>
              </w:rPr>
              <w:t>金额</w:t>
            </w:r>
            <w:r>
              <w:rPr>
                <w:rFonts w:hint="eastAsia" w:ascii="仿宋_GB2312" w:hAnsi="仿宋_GB2312" w:cs="仿宋_GB2312"/>
                <w:i w:val="0"/>
                <w:snapToGrid w:val="0"/>
                <w:color w:val="000000"/>
                <w:kern w:val="0"/>
                <w:sz w:val="21"/>
                <w:szCs w:val="21"/>
                <w:u w:val="none"/>
                <w:lang w:val="en-US" w:eastAsia="zh-CN" w:bidi="ar"/>
              </w:rPr>
              <w:t>（元）</w:t>
            </w:r>
          </w:p>
        </w:tc>
      </w:tr>
      <w:tr>
        <w:tblPrEx>
          <w:tblLayout w:type="fixed"/>
          <w:tblCellMar>
            <w:top w:w="0" w:type="dxa"/>
            <w:left w:w="0" w:type="dxa"/>
            <w:bottom w:w="0" w:type="dxa"/>
            <w:right w:w="0" w:type="dxa"/>
          </w:tblCellMar>
        </w:tblPrEx>
        <w:trPr>
          <w:trHeight w:val="56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半球型监控摄像机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现系统使用海康威视DS-2CD234QCSW-DYL/400万臻全彩海螺型摄像机，要求报同品牌同型号产品或者与原系统完全匹配且性能优于原品牌同型号的产品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防暴半球型监控摄像机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现系统使用海康威视DS-2CD3146FAZW-IS2.8/400万星光级POE音频防暴监控半球摄像机，要求报同品牌同型号产品或者与原系统完全匹配且性能优于原品牌同型号的产品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筒型监控摄像机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现系统使用海康威视DS-2CD2T4QCSW-DYL/400万臻全彩筒型摄像机，要求报同品牌同型号产品或者与原系统完全匹配且性能优于原品牌同型号的产品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23倍室内监控摄像机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现系统使用海康威视iDS-2PT7D20IX-DE(23X)(T5)/200万4寸23倍红外PTZ球形摄像机，要求报同品牌同型号产品或者与原系统完全匹配且性能优于原品牌同型号的产品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20倍室内监控摄像机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现系统使用海康威视DS-2DE42XYZIW-ABC/VWS/200万4寸20倍红外球形摄像机，要求报同品牌同型号产品或者与原系统完全匹配且性能优于原品牌同型号的产品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一键报警终端</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现系统使用安家智AJ-LAN-4G报警终端，要求报同品牌同型号产品或者与原系统完全匹配且性能优于原品牌同型号的产品，且要求自带10年流量费用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硬盘录像机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现系统使用海康威视DS-8664N-I16录像机，要求报同品牌同型号产品或者与原系统完全匹配且性能优于原品牌同型号的产品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监控专用硬盘</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现系统使用希捷ST8000VX004/8T硬盘，要求报同品牌同型号产品或者与原系统完全匹配且性能优于原品牌同型号的产品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POE交换机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24口POE供电+2口上联</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w:t>
            </w:r>
          </w:p>
        </w:tc>
        <w:tc>
          <w:tcPr>
            <w:tcW w:w="118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POE交换机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16口POE供电+2口上联</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POE交换机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8口POE供电+2口上联</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POE交换机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4口POE供电+2口上联</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交换机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48口千兆交换机，4千兆SFP</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交换机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8口千兆交换机</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交换机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5口千兆交换机</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网线</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六类非屏蔽四对双绞线</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网线</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超五类非屏蔽四对双绞线</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光缆</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12芯</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光缆</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8芯</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光缆</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4芯/6芯</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光纤尾纤</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长度约3m,接口LC/SC/FC</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千兆光纤收发器</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千兆单模单纤光纤收发器</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电源线</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RVV2*2.5</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400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开关电源</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12V2.5A，室外防水</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设备箱</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201不锈钢，300*400*150</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26</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监控立杆</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4m钢质变径监控立杆，最粗处φ114mm壁厚3mm，带专用支架、万向鸭嘴、避雷针、预埋件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1"/>
                <w:szCs w:val="21"/>
                <w:u w:val="none"/>
                <w:lang w:val="en-US" w:eastAsia="zh-CN" w:bidi="ar"/>
              </w:rPr>
            </w:pPr>
            <w:r>
              <w:rPr>
                <w:rFonts w:hint="eastAsia" w:ascii="仿宋_GB2312" w:hAnsi="仿宋_GB2312" w:eastAsia="仿宋_GB2312" w:cs="仿宋_GB2312"/>
                <w:i w:val="0"/>
                <w:snapToGrid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27</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光纤熔接费用</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含熔接包</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次</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28</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上门维修人工费用</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维修时长不超过4h计0.5个工日，4h～8h计1个工日</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工日</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54" w:hRule="atLeast"/>
        </w:trPr>
        <w:tc>
          <w:tcPr>
            <w:tcW w:w="1297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i w:val="0"/>
                <w:color w:val="000000"/>
                <w:sz w:val="21"/>
                <w:szCs w:val="21"/>
                <w:u w:val="none"/>
                <w:lang w:val="en-US" w:eastAsia="zh-CN"/>
              </w:rPr>
            </w:pPr>
            <w:r>
              <w:rPr>
                <w:rFonts w:hint="eastAsia" w:ascii="仿宋_GB2312" w:hAnsi="仿宋_GB2312" w:eastAsia="仿宋_GB2312" w:cs="仿宋_GB2312"/>
                <w:b/>
                <w:bCs/>
                <w:i w:val="0"/>
                <w:color w:val="000000"/>
                <w:sz w:val="21"/>
                <w:szCs w:val="21"/>
                <w:u w:val="none"/>
                <w:lang w:val="en-US" w:eastAsia="zh-CN"/>
              </w:rPr>
              <w:t>合计金额（元）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i w:val="0"/>
                <w:color w:val="000000"/>
                <w:sz w:val="21"/>
                <w:szCs w:val="21"/>
                <w:u w:val="none"/>
              </w:rPr>
            </w:pPr>
            <w:bookmarkStart w:id="0" w:name="_GoBack"/>
            <w:bookmarkEnd w:id="0"/>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sectPr>
          <w:pgSz w:w="16838" w:h="11906" w:orient="landscape"/>
          <w:pgMar w:top="1803" w:right="1440" w:bottom="1803" w:left="1440" w:header="851" w:footer="992" w:gutter="0"/>
          <w:cols w:space="0" w:num="1"/>
          <w:rtlGutter w:val="0"/>
          <w:docGrid w:type="lines" w:linePitch="332" w:charSpace="0"/>
        </w:sect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A437E9"/>
    <w:rsid w:val="21BF55DE"/>
    <w:rsid w:val="21E03505"/>
    <w:rsid w:val="2293423E"/>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D55BB7"/>
    <w:rsid w:val="2BE1248B"/>
    <w:rsid w:val="2BF70ED7"/>
    <w:rsid w:val="2C8D3362"/>
    <w:rsid w:val="2CF34CB0"/>
    <w:rsid w:val="2D067FF6"/>
    <w:rsid w:val="2D453ECC"/>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724B8F"/>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846F9"/>
    <w:rsid w:val="55223F2F"/>
    <w:rsid w:val="55AB6F58"/>
    <w:rsid w:val="560E4F32"/>
    <w:rsid w:val="5661187C"/>
    <w:rsid w:val="5712074C"/>
    <w:rsid w:val="57233744"/>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A22167"/>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2025-05-28T02:11:15Z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