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LZ2025-13ZW的医用电梯维保服务项目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2025年4月29日14:00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医院5部厢式、4部扶式医用电梯维保服务（含技术服务+除照明灯具外的300元内配件），和300元以上配件的供应，具体内容见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《报价单》。《报价单》中的报价单2是根据以往经验罗列的有采购可能的配件。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2025年4月28日12:00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2025年4月18日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2"/>
        <w:tblW w:w="8895"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30"/>
        <w:gridCol w:w="885"/>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123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工作层数</w:t>
            </w:r>
          </w:p>
        </w:tc>
        <w:tc>
          <w:tcPr>
            <w:tcW w:w="885"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252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年度服务费价格（元）</w:t>
            </w:r>
          </w:p>
        </w:tc>
        <w:tc>
          <w:tcPr>
            <w:tcW w:w="252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年度服务费金额（元）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蒂森厢式电梯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迅达厢式电梯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迅达扶式电梯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375" w:type="dxa"/>
            <w:gridSpan w:val="4"/>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年度合计金额（元）</w:t>
            </w:r>
          </w:p>
        </w:tc>
        <w:tc>
          <w:tcPr>
            <w:tcW w:w="2520" w:type="dxa"/>
            <w:vAlign w:val="center"/>
          </w:tcPr>
          <w:p>
            <w:pPr>
              <w:pStyle w:val="7"/>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tbl>
      <w:tblPr>
        <w:tblStyle w:val="12"/>
        <w:tblW w:w="888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313"/>
        <w:gridCol w:w="930"/>
        <w:gridCol w:w="1442"/>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31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9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44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单价（元）</w:t>
            </w:r>
          </w:p>
        </w:tc>
        <w:tc>
          <w:tcPr>
            <w:tcW w:w="233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迅达专用应急电源装置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迅达电梯门机磁鼓</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迅达医梯钢丝绳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迅达外呼双层显示板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迅达轿内双层显示板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迅达、日立电梯平层感应器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迅达、日立电梯限速器校验</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迅达KMC接触器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迅达KMY接触器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迅达抱闸强制继电器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迅达门锁继电器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迅达安全继电器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val="en-US" w:eastAsia="zh-CN"/>
              </w:rPr>
              <w:t>迅达</w:t>
            </w:r>
            <w:r>
              <w:rPr>
                <w:rFonts w:hint="eastAsia" w:ascii="仿宋_GB2312" w:hAnsi="仿宋_GB2312" w:eastAsia="仿宋_GB2312" w:cs="仿宋_GB2312"/>
                <w:kern w:val="0"/>
                <w:sz w:val="24"/>
                <w:szCs w:val="24"/>
              </w:rPr>
              <w:t>裁截钢丝绳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迅达电梯相序</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迅达应急电源</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迅达扶梯摩擦轮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迅达扶梯扶手带摩擦轮链条</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迅达扶梯托带轮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迅达扶梯多楔带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迅达扶梯抱闸钢带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根</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迅达扶梯扶手带链轮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迅达计数器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迅达主板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迅达轿厢通讯板SM02</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迅达电梯导向轮更换轴承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迅达电梯主机编码器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迅达门锁装置</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迅达载荷控制装置</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迅达扶梯特制扶手带</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迅达扶梯相序</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3313" w:type="dxa"/>
            <w:vAlign w:val="center"/>
          </w:tcPr>
          <w:p>
            <w:pPr>
              <w:widowControl/>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迅达门机轨道</w:t>
            </w:r>
          </w:p>
        </w:tc>
        <w:tc>
          <w:tcPr>
            <w:tcW w:w="930" w:type="dxa"/>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3313" w:type="dxa"/>
            <w:vAlign w:val="center"/>
          </w:tcPr>
          <w:p>
            <w:pPr>
              <w:widowControl/>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迅达轿门不锈钢重包</w:t>
            </w:r>
          </w:p>
        </w:tc>
        <w:tc>
          <w:tcPr>
            <w:tcW w:w="930" w:type="dxa"/>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迅达继电器板</w:t>
            </w:r>
          </w:p>
        </w:tc>
        <w:tc>
          <w:tcPr>
            <w:tcW w:w="930" w:type="dxa"/>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迅达、日立补偿链</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迅达、日立语音报站</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迅达、日立医梯专用光幕</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日立轿厢通讯扩展板SM03</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日立主机编码器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日立信号板NIOB</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日立门机及编码器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日立通讯A板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日立通讯B板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日立通讯C板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日立门机通讯控制板DMC</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日立门机驱动板DMD</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日立制动电阻</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日立电梯主板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日立曳引机油</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日立返绳轮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日立涨紧轮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日立风扇</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日立限速器钢丝绳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蒂森封星接触器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蒂森Ｋ07接触器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蒂森运行继电器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蒂森电源运行接触器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64</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蒂森门机同步带</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bookmarkStart w:id="0" w:name="_GoBack"/>
            <w:bookmarkEnd w:id="0"/>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100" w:type="dxa"/>
            <w:gridSpan w:val="3"/>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为做初步价格比对，以上价格相加（元）</w:t>
            </w:r>
          </w:p>
        </w:tc>
        <w:tc>
          <w:tcPr>
            <w:tcW w:w="1442" w:type="dxa"/>
            <w:vAlign w:val="center"/>
          </w:tcPr>
          <w:p>
            <w:pPr>
              <w:jc w:val="center"/>
              <w:rPr>
                <w:rFonts w:hint="eastAsia" w:ascii="仿宋_GB2312" w:hAnsi="仿宋_GB2312" w:eastAsia="仿宋_GB2312" w:cs="仿宋_GB2312"/>
                <w:b/>
                <w:bCs/>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对于报价的细化与追加说明（如有）：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2025-04-16T07:17:53Z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