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LZ2024-47XX的信息网络安全运维服务项目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2024年9月20日14:00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医院信息网络安全运维服务，具体包括</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《信息网络安全运维服务需求明细》。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2024年9月18日17:00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5.信息网络安全运维服务需求明细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2024年9月9日</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bookmarkStart w:id="0" w:name="_GoBack"/>
      <w:bookmarkEnd w:id="0"/>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6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26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35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26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一年期服务价格（元）</w:t>
            </w:r>
          </w:p>
        </w:tc>
        <w:tc>
          <w:tcPr>
            <w:tcW w:w="253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两年期服务价格（元）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35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信息网络安全运维服务</w:t>
            </w:r>
          </w:p>
        </w:tc>
        <w:tc>
          <w:tcPr>
            <w:tcW w:w="2625" w:type="dxa"/>
            <w:vAlign w:val="center"/>
          </w:tcPr>
          <w:p>
            <w:pPr>
              <w:jc w:val="center"/>
              <w:rPr>
                <w:rFonts w:hint="eastAsia" w:ascii="仿宋_GB2312" w:hAnsi="仿宋_GB2312" w:eastAsia="仿宋_GB2312" w:cs="仿宋_GB2312"/>
                <w:sz w:val="24"/>
                <w:szCs w:val="24"/>
                <w:vertAlign w:val="baseline"/>
                <w:lang w:val="en-US" w:eastAsia="zh-CN"/>
              </w:rPr>
            </w:pPr>
          </w:p>
        </w:tc>
        <w:tc>
          <w:tcPr>
            <w:tcW w:w="2535"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附件5</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信息网络安全运维服务需求明细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项目内容及范围:中心机房及各配线间。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服务内容包括：信息系统主机、存储系统、数据库系统、网络安全系统以及主机系统相关的软硬件、数据库、操作系统软件、UPS、配电、动环系统等。加强主要业务系统的信息系统安全方面工作（例如信息安全风险评估、安全管理体系建设、信息安全培训等），具体服务范围可自行现场考察。</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特别说明：服务内容包括当前国内主流信创产品：如基础硬件（服务器、存储设备、网络设备、工控机等）、基础软件（操作系统、数据库、中间件等）。</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一、服务内容</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资产登记服务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半年对中心机房及各配线间内的各类信息设备设施做全面普查，做出资产登记表和主要设备的运行情况表，对设备设施的运行情况进行总体评估，向医院提交普查报告。提供的文件：资产登记表，机房普查报告。运维服务启动时提供一次，随资产的增加或减少每季度及时修订。</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2</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网络梳理服务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每年根据实际的网络情况和数据流向完善网络拓扑图，结合医院的业务和安全现状，通过查看安全设备的配置制定符合客户现状的安全策略，建立符合目前业务安全性的安全基线标准。</w:t>
      </w:r>
    </w:p>
    <w:p>
      <w:pPr>
        <w:ind w:firstLine="477" w:firstLineChars="198"/>
        <w:jc w:val="left"/>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漏洞扫描服务</w:t>
      </w:r>
      <w:r>
        <w:rPr>
          <w:rFonts w:hint="eastAsia" w:ascii="仿宋_GB2312" w:hAnsi="仿宋_GB2312" w:eastAsia="仿宋_GB2312" w:cs="仿宋_GB2312"/>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（1）应用系统上线前或新版本应用发布前对应用系统进行漏洞扫描服务，提前发现其中存在的高危漏洞，并提出修补建议。</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（2）每月进行医院直接外网系统（如网站、部署在外网前置机上系统）的漏洞扫描，并出具扫描报告、告知用户扫描结果。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3）每季度利用漏洞扫描工具扫描网络中的所有服务器及重要的网络设备(包括服务器、交换机、防火墙等)，以对网络设备进行安全漏洞检测和分析，对识别出的能被入侵者利用来非法进入网络或者非法获取信息资产的漏洞，从而全面掌握内部网络安全面临的弱点。根据漏洞扫描工具输出的结果进行评估，采取不同的技术手段或管理手段加强漏洞管理。从而有效地降低安全风险，提高安全防护能力。</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4</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风险评估服务</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网络安全风险评估是从风险管理角度，运用科学的方法和手段，每半年系统地分析信息系统所面临的威胁及其存在的脆弱性，评估安全事件一旦发生可能造成的危害程度，提出有针对性的抵御威胁的防护对策和整改措施，为防范和化解信息安全风险，将风险控制在可接受的水平，最大限度地保障信息安全提供科学依据。</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5</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渗透测试服务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为客户HIS系统及门户网站，开展一年一次的安全渗透测试服务。</w:t>
      </w:r>
    </w:p>
    <w:p>
      <w:pPr>
        <w:ind w:firstLine="477" w:firstLineChars="198"/>
        <w:jc w:val="left"/>
        <w:rPr>
          <w:rFonts w:hint="eastAsia" w:ascii="仿宋_GB2312" w:hAnsi="仿宋_GB2312" w:eastAsia="仿宋_GB2312" w:cs="仿宋_GB2312"/>
          <w:sz w:val="24"/>
        </w:rPr>
      </w:pPr>
      <w:r>
        <w:rPr>
          <w:rFonts w:hint="eastAsia" w:ascii="仿宋_GB2312" w:hAnsi="仿宋_GB2312" w:eastAsia="仿宋_GB2312" w:cs="仿宋_GB2312"/>
          <w:b/>
          <w:bCs/>
          <w:sz w:val="24"/>
        </w:rPr>
        <w:t>6</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总体规划咨询服务</w:t>
      </w:r>
      <w:r>
        <w:rPr>
          <w:rFonts w:hint="eastAsia" w:ascii="仿宋_GB2312" w:hAnsi="仿宋_GB2312" w:eastAsia="仿宋_GB2312" w:cs="仿宋_GB2312"/>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每半年对当下的软硬件环境进行风险及可持续性评估，给出规划建议，构建合理的网络运维和管理体系。</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7</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重大安全事件告警服务</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收集和整理最新安全事件，包括但不限于系统或软件漏洞、安全事件、行业资讯等信息，不定期发送预警通告，遇紧急高危漏洞或重大信息安全事件告知并排查，如发现问题确认可处理则安排技术人员跟进解决。</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8</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培训服务</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每年提供不少于 2天 5 人次的培训，培训内容包括但不限于：机房运维知识培训、服务器、存储培训、网络安全培训、信息安全知识等培训。培训人员、时间及地点由采购方确定，师资等由服务供应商提供。</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9</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主机及存储运维</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对主机及存储提供7*24监控服务及应急故障响应服务。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主机服务内容如下：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（1）主机日常运维需求响应，如参数调整，服务搭建。排错及故障处理，若涉及生产环境配置变化，按变更流程发起相应操作。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（2）操作系统的安装，环境初始化（如：杀毒软件安装、备份部署，用户设置，按卫健委相关文件要求配置主机安全基线等）。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3）监测主机CPU、内存、网络流量、磁盘空间、应用服务等运行状态，并以月度为单位结合历史数据对每台主机进行性能分析，合理调整服务器CPU、内存配置，并对现有环境剩余资源进行容量评估，提前通知用户进行扩容准备。</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（4）存储运行状态日常监测，包括存储IO，资源利用率，SAN交换机链路状态，包错误率等，并以月度为单位输出磁盘空间使用情况。</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（5）存储日常巡检，每周进行一次日志巡检，每月进行一次现场巡检，检查硬件状态、结合日志对存储的运行情况进行分析与评估。</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（6）存储日常配置调整与故障处理，如存储划分、扩容、资源回收，硬件问题诊断与修复等。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（7）每半年对存储设备运行状态检查、监控及预警、日志检查分析，提供巡检报告与日常维护建议等；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（8）检查中心机房内服务器和存储设备的运行状况，故障排除、记录运行日志。</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（9）规划存储空间的分配和使用</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（10）存储设备及存储配置的调整优化</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（11）存储故障响应、排查、诊断和处理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（12）对发生故障的硬件设备进行维修或更换，采购维修所需软硬件费用由甲方自理；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（13）提供的文件：巡检报告、服务器、存储设备运行维护报告、故障处理报告、性能分析报告。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10</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网络设备运维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（1）对网络设备进行7*24小时监测，主动发现网络设备中存在的如环路、链路质量差、丢包、stp震荡等影响业务正常使用的问题。</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2）收集网络运行性能信息，如CPU、内存利用率，带宽使用情况，及时对发现的问题进行告警，并进行相应问题的解决。以月度为单位，进行现场巡检，对网络的总体运行情况及剩余资源容量进行评估，提前通知用户进行扩容准备。</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（3）对安全设备进行每周巡检，发现其中的安全事件，并及时进行事件的处理，对于即将过期或已过期的安全设备特征库，及时通知用户进行升级续费。</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（4）对网络整体架构进行周期性（项目初期建议每季度，后期可改为半年）评估，发现其中的不合理部分，并出具整改方案，待与用户确认后进行网络整改。</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（5）响应用户的其它日常网络需求及安全策略设置需求，按变更流程进行相关配置的变动。</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（6）每半年检查网络设备日志，查看网络设备运行情况、进行记录，提供巡检报告与日常维护建议等；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（7）网络性能分析、设备日志检查分析、硬件设备运行情况、网络线路、设备周围环境情况等网络结构、网络设备及网络配置的调整优化。</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（8）网络设备、线路等故障响应、排查、诊断和处理。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（9）对发生故障的硬件设备进行维修或更换(采购维修所需软硬件费用由医院自理)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（10）在医院网络进行重大调整时给予技术支持</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提供的文件：巡检报告、网络设备运行维护报告、故障处理报告、性能分析报告。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11</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操作系统运维</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每季度对服务器上运行的操作系统（LINUX 和 WINDOWS 及主流国产操作系统）， 双机软件等进行运维和支持服务。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对用户的操作系统需求进行5*8小时日常响应，紧急故障提供7*24小时响应，提供7*24小时操作系统运行状态监测。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按所属业务的重要性，对操作系统进行重要性分级，对不同重要级提供不同保障措施。</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制定操作系统安装交付标准，经用户确认后进行部署交付操作。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按卫健委相关文件要求对新部署系统及原有操作系统进行安全基线配置。</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操作系统反病毒软件安装（用户提供安装文件）</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操作系统运行状态检查、监控及预警</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操作系统性能分析、设备日志检查分析等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操作系统配置优化、性能调优、垃圾数据清理等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操作系统故障响应、排查、诊断和处理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操作系统的备份及恢复计划</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操作系统补丁升级，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核心应用需甲方与第三方软件厂商确认方可补丁升级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补丁如果产生费用由服务采购方承担</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操作系统安全加固</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12</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虚拟化运维</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对虚拟化及超融合环境进行5*8小时日常运维响应，紧急故障提供7*24小时响应，提供7*24小时运行状态监测。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每月对虚拟化/超融合环境剩余资源进行容量评估，通知用户进行扩容准备。</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每季度对虚拟机CPU/内存资源使用情况进行全面分析，对于造成资源浪费的虚拟机进行资源回收，对资源不足的虚拟机及时进行资源上调。</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确保虚拟化集群/超融合集群HA、DRS等功能持续可用，并每月进行一次巡检。</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对虚拟化/超融合资源的扩容、改造、跨集群迁移、安全补丁更新等提供支持，出具相应技术方案与用户确认后进行实施。</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每季度对虚拟化、超融合环境进行运维，任何虚拟化问题给与及时解决或提供解决方案（如需外采授权等软件，费用由医院承担）</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13</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机房配电基础运维服务</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查看各个开关及仪表显示是否正常；</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检查电压、电流是否正常UPS电池定期充放电（半年次）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UPS供电支撑性评估（半年次）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精密空调过滤网定期更换（每年1次）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精密空调室外机清洗（每年2次）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空调按需充氟，机房水过滤耗材更换（根据加湿使用要求每年次）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设备寿命评估</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14</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等级保护合规运维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每年随等保测评提供基于信息安全等级保护测评后的网络调优、基础设施配置、安全策略优化、安全管理中心搭建、制度建立等全方位整改相关服务（应用软件除外），确保最终测评结果为良及以上。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15</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重大事件安全检查及应急处置服务</w:t>
      </w:r>
      <w:r>
        <w:rPr>
          <w:rFonts w:hint="eastAsia" w:ascii="仿宋_GB2312" w:hAnsi="仿宋_GB2312" w:eastAsia="仿宋_GB2312" w:cs="仿宋_GB2312"/>
          <w:b/>
          <w:bCs/>
          <w:sz w:val="24"/>
        </w:rPr>
        <w:tab/>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如客户即将或已经经历重大事件（例如即将召开重要会议直播、要员来访、法定重要日期、大型节假日、黑客攻击、病毒或木马发作等），提前进行相关安全检查，如有必要及时派出技术人员提供保障或应急处置，如解决问题需软硬件采购可由服务商先行垫付，在处置完成后由院方支付。</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16</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数据库操作系统安装服务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按需</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根据用户的硬件平台推荐适合的操作系统类型和版本，包装国产操作系统如麒麟、欧拉、统信等。</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根据数据库的要求，科学地安装和配置操作系统</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调整必要的操作系统运行核心参数</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定制数据库服务器上的操作系统服务程序，减少不必要的服务，节约资源</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及时推荐和安装操作系统补丁，保障操作系统安全</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设置数据库用户在操作系统中的运行环境</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配置合适的数据库存储方式</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配置数据库的自动启动脚本，减少开机的复杂性</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17</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数据库单机安装服务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按需</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根据医院需要，对当前主流数据库包括国产数据库做到如下：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合理安装数据库软件</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根据应用系统创建合适的数据库</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根据应用系统的要求分配数据空间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设置合理的数据库运行参数</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检查和设置数据库用户的安全性和访问的安全性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设置数据库的监听程序</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培训用户的数据库基本操作流程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提供完善的数据库安装报告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18</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优化配置和性能调整服务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 xml:space="preserve">每季度 </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需oracle认证OCM或OCP认证工程师</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对数据库的运行况进行监控，及时发现资源不足，锁，慢查询等可能导致业务异常的问题，及时发出告警，并进行应急处理。</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分析用户的应用类型和用户行为</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确立明确的调整目标</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查找数据库运行瓶颈和原因</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评价并修改 ORACLE 数据库的参数设置</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评价并调整 ORACLE 数据库的数据分布</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评价应用对硬件和系统的使用情况，并提出建议</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利用先进的性能调整工具实施数据库的性能调整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培训用户有关性能调整的概念</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提供用户完整的性能调整报告和解决方法</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19</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数据库安全检查及配置服务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 xml:space="preserve"> 每季度</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利用完整的数据库安全检查列表来评价数据库系统的安全性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识别数据库系统里的安全风险</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识别导致破坏性的后门程序</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识别安全级别低的用户和密码</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提供用户名称和口令相同的用户名单</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清除所有威胁数据库的安全隐患</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20</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数据库补丁安装服务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每季度</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评估当前数据库软件的运行版本</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查找和准备可用的补丁</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认证补丁安装的必要性，评估补丁安装的利弊</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明确补丁可以解决的问题，确定补丁安装的时机</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为安装补丁备份好软件和数据库</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和用户协调计划停机时间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实施补丁的安装</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完成补丁安装的后续服务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检查操作结果并记录备案，提供补丁安装过程报告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21</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数据库迁移服务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按需</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合理规划迁移方法及步骤</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制定详细的迁移过程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准备必须的迁移工具</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实施迁移过程</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迁移后的修改工作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确认系统在数据库上的稳定运行</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完成其他后续事宜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检查操作结果并记录备案，提供数据库迁移过程报告</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22</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数据库容灾服务</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按需</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容灾备库方案选择（DATAGUARD\XTTS\OGG等软件）</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根据用户容灾需求进行规划</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根据制定的方案进行容灾系统实施搭建</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对用户提供容灾系统日常维护的指导</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提供完整的容灾系统文档</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23</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数据备份服务（用户提供备份设备）</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根据不同的业务级别，对虚拟机/数据库/应用程序进行数据备份部署</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每周对备份任务进行巡检，及时随业务系统上下/下线进行备份任务调整</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对于备份失败的任务进行排错，确保数据备份正常。</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每年度至少进行一次数据恢复演练，验证数据可恢复性。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对于需要长时间归档的数据，及时为用户提供可行的归档方案，并与用户确认后进行实施。</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二、服务要求</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针对本项目组建专门的运维服务团队，提供专业、快速、稳定的技术支持服务。</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团队</w:t>
      </w:r>
      <w:r>
        <w:rPr>
          <w:rFonts w:hint="eastAsia" w:ascii="仿宋_GB2312" w:hAnsi="仿宋_GB2312" w:eastAsia="仿宋_GB2312" w:cs="仿宋_GB2312"/>
          <w:sz w:val="24"/>
        </w:rPr>
        <w:t>提供 7x24 小时技术支持服务随时响应：1小时内抵达用户现场，软硬件系统故障 4小时内解决或给出解决方案。</w:t>
      </w:r>
    </w:p>
    <w:p>
      <w:pPr>
        <w:ind w:firstLine="477" w:firstLineChars="198"/>
        <w:jc w:val="lef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服务团队要求</w:t>
      </w:r>
      <w:r>
        <w:rPr>
          <w:rFonts w:hint="eastAsia" w:ascii="仿宋_GB2312" w:hAnsi="仿宋_GB2312" w:eastAsia="仿宋_GB2312" w:cs="仿宋_GB2312"/>
          <w:b/>
          <w:bCs/>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为本项目成立专门的项目组，并任命项目负责人。为本项目实施制定明确清晰的运维方案等</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运维服务团队由运维工程师，重大工作保障工程师，技术专家团队组成</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运维工程师负责运维保障工作，按照项目服务体系日程规划，组织日常运维服务，完成医院交办的各项任务,及时汇报项目整体运维情况，保障信息系统稳定持续运行</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重大工作保障工程师（2人），在医院承担重大工作阶段，除运维工程师外，另外安排网络、安全设备工程师1人、主机及虚拟化及存储工程师1人，可提供技术保障服务</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技术专家团队（不少于1人）提供响应式运维技术服务，负责指导运维工程师开展工作，在重要时刻提供现场技术支持保障。并且每半年进行一次信息系统运行趋势评估，提出优化改善建议。技术专家团队应包含网络、主机存储、虚拟化、数据库方向厂商认证高级工程师。</w:t>
      </w:r>
    </w:p>
    <w:p>
      <w:pPr>
        <w:ind w:firstLine="477" w:firstLineChars="198"/>
        <w:jc w:val="lef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2.</w:t>
      </w:r>
      <w:r>
        <w:rPr>
          <w:rFonts w:hint="eastAsia" w:ascii="仿宋_GB2312" w:hAnsi="仿宋_GB2312" w:eastAsia="仿宋_GB2312" w:cs="仿宋_GB2312"/>
          <w:b/>
          <w:bCs/>
          <w:sz w:val="24"/>
        </w:rPr>
        <w:t>服务能力要求</w:t>
      </w:r>
      <w:r>
        <w:rPr>
          <w:rFonts w:hint="eastAsia" w:ascii="仿宋_GB2312" w:hAnsi="仿宋_GB2312" w:eastAsia="仿宋_GB2312" w:cs="仿宋_GB2312"/>
          <w:b/>
          <w:bCs/>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问题发现能力</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服务团队具备服务范围内所有设备的7*24小时监测能力，及时发现环境中存在的问题，并进行主动处理</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问题解决能力</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对于发现的问题及时进行处理，如一线团队无法解决问题时，可及时升级至后线工程师，提供技术及备件支持，如遇问题无法解决时，可提供紧急业务恢复方案，使院内业务快速恢复恢复</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操作追溯能力</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对于日常运维过程中的所有操作，可对任意一次操作进行操作过程回溯，对工程师操作内容进行审计</w:t>
      </w:r>
      <w:r>
        <w:rPr>
          <w:rFonts w:hint="eastAsia" w:ascii="仿宋_GB2312" w:hAnsi="仿宋_GB2312" w:eastAsia="仿宋_GB2312" w:cs="仿宋_GB2312"/>
          <w:sz w:val="24"/>
          <w:lang w:eastAsia="zh-CN"/>
        </w:rPr>
        <w:t>；</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数据分析能力</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服务团队需具备运维数据分析能力，对于设备日常运行过程中产生的性能数据、工单数据、故障数据进行横向分析，提供运维管理决策支持。</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结合上述能力要求，服务提供方需自行准备以下服务工具：</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监控工具</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需在院内部署统一监控系统，将本次运维范围内的设备进行监控，监控系统需具有以下监控能力：</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监控各类网络及安全设备的CPU，内存利用率及网络流量信息。</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监控主流Windows、Linux、超融合、VMware ESXi、数据库等服务状态及资源利用情况，及运行日志。</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可根据用户实际需求，自定义各种监控项进行监控。</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实现监控系统与服务管理系统对接，满足一定条件的报警能够自动在服务管理系统中创建工单。</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服务管理系统</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供应商需自行提供ITSM服务管理系统，用于记录日常工作与监控产生的报警信息处理，工单系统需满足以下要求：</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A.工单流程：记录用户日常工单信息，并可按要求进行工单流转。</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B.变更流程：对用户生产环境变化进行采取变更控制，需审批后才可操作。</w:t>
      </w:r>
    </w:p>
    <w:p>
      <w:pPr>
        <w:ind w:firstLine="475" w:firstLineChars="198"/>
        <w:jc w:val="left"/>
        <w:rPr>
          <w:rFonts w:hint="eastAsia" w:ascii="仿宋_GB2312" w:hAnsi="仿宋_GB2312" w:eastAsia="仿宋_GB2312" w:cs="仿宋_GB2312"/>
          <w:sz w:val="24"/>
        </w:rPr>
      </w:pPr>
      <w:r>
        <w:rPr>
          <w:rFonts w:hint="eastAsia" w:ascii="仿宋_GB2312" w:hAnsi="仿宋_GB2312" w:eastAsia="仿宋_GB2312" w:cs="仿宋_GB2312"/>
          <w:sz w:val="24"/>
        </w:rPr>
        <w:t>C.报表导出：支持对服务管理系统内的数据进行导出，导出方式支持csv, Excel, XML等多种方式</w:t>
      </w:r>
    </w:p>
    <w:p>
      <w:pPr>
        <w:ind w:firstLine="477" w:firstLineChars="198"/>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运维操作审计</w:t>
      </w:r>
    </w:p>
    <w:p>
      <w:pPr>
        <w:ind w:firstLine="475" w:firstLineChars="198"/>
        <w:jc w:val="left"/>
        <w:rPr>
          <w:rFonts w:hint="eastAsia" w:ascii="仿宋_GB2312" w:hAnsi="仿宋_GB2312" w:eastAsia="仿宋_GB2312" w:cs="仿宋_GB2312"/>
          <w:lang w:val="en-US" w:eastAsia="zh-CN"/>
        </w:rPr>
      </w:pPr>
      <w:r>
        <w:rPr>
          <w:rFonts w:hint="eastAsia" w:ascii="仿宋_GB2312" w:hAnsi="仿宋_GB2312" w:eastAsia="仿宋_GB2312" w:cs="仿宋_GB2312"/>
          <w:sz w:val="24"/>
        </w:rPr>
        <w:t>服务提供方在院内部署运维审计系统，提供运维操作</w:t>
      </w:r>
      <w:r>
        <w:rPr>
          <w:rFonts w:hint="eastAsia" w:ascii="仿宋_GB2312" w:hAnsi="仿宋_GB2312" w:eastAsia="仿宋_GB2312" w:cs="仿宋_GB2312"/>
          <w:b w:val="0"/>
          <w:bCs w:val="0"/>
          <w:sz w:val="24"/>
        </w:rPr>
        <w:t>记录，审计时长为一年。</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39543E"/>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4F6ED0"/>
    <w:rsid w:val="3DD5126E"/>
    <w:rsid w:val="3E7F198B"/>
    <w:rsid w:val="4093415D"/>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0172EEB"/>
    <w:rsid w:val="61594C52"/>
    <w:rsid w:val="618A062A"/>
    <w:rsid w:val="624772C6"/>
    <w:rsid w:val="626F6842"/>
    <w:rsid w:val="639C74DA"/>
    <w:rsid w:val="63CB7229"/>
    <w:rsid w:val="64E613E5"/>
    <w:rsid w:val="64F07963"/>
    <w:rsid w:val="65AD00EC"/>
    <w:rsid w:val="65B94855"/>
    <w:rsid w:val="667C5FC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E73A79"/>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2024-09-09T03:10:39Z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