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LZ2024-25XC的标识标牌项目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2024年5月30日14:00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single"/>
          <w:lang w:val="en-US" w:eastAsia="zh-CN"/>
        </w:rPr>
        <w:t>医院三楼西区第二会议室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一年期医院标识标牌供应，具体见</w:t>
      </w: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项目付款方式暂定为按照自然月汇总，该自然月结束后的60日内支付。</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2024年5月28日17:00</w:t>
      </w:r>
      <w:r>
        <w:rPr>
          <w:rFonts w:hint="eastAsia" w:ascii="仿宋_GB2312" w:hAnsi="仿宋_GB2312" w:eastAsia="仿宋_GB2312" w:cs="仿宋_GB2312"/>
          <w:color w:val="auto"/>
          <w:sz w:val="32"/>
          <w:szCs w:val="32"/>
          <w:lang w:val="en-US" w:eastAsia="zh-CN"/>
        </w:rPr>
        <w:t>前派员持公司《营业执照》复印件和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论证参照竞争性磋商方式，商谈的顺序按照报名的先后顺序反向进行。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报价应当为将标识标牌安装到指定位置、达到使用标准的全部含税费用，包括但不限于设计费、排版费、材料费、制作费、运输费、装卸费、工具费、安装费、清洁费，以及对指定安装位置可能存在的老旧标识标牌的拆除费用。需要搭建脚手架实施高空作业的，脚手架费用可另行计算。</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本函罗列的医院之前年度采购量，仅为供应商确定报价方案使用，且只代表医院之前特定时间段内的采购状况，医院不对未来的实际采购量进行承诺。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格式的供应商《同类服务/产品市场应用情况表》3份（顺序为威海区域在前，其他区域在后，数量不超过20家）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自定义格式</w:t>
      </w:r>
      <w:r>
        <w:rPr>
          <w:rFonts w:hint="eastAsia" w:ascii="仿宋_GB2312" w:hAnsi="仿宋_GB2312" w:eastAsia="仿宋_GB2312" w:cs="仿宋_GB2312"/>
          <w:color w:val="auto"/>
          <w:sz w:val="32"/>
          <w:szCs w:val="32"/>
          <w:lang w:val="en-US" w:eastAsia="zh-CN"/>
        </w:rPr>
        <w:t>A4纸</w:t>
      </w:r>
      <w:r>
        <w:rPr>
          <w:rFonts w:hint="eastAsia" w:ascii="仿宋_GB2312" w:hAnsi="仿宋_GB2312" w:eastAsia="仿宋_GB2312" w:cs="仿宋_GB2312"/>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（七）实物样片</w:t>
      </w:r>
    </w:p>
    <w:p>
      <w:pPr>
        <w:ind w:firstLine="640" w:firstLineChars="200"/>
        <w:rPr>
          <w:rFonts w:hint="eastAsia" w:ascii="仿宋_GB2312" w:hAnsi="仿宋_GB2312" w:eastAsia="仿宋_GB2312" w:cs="仿宋_GB2312"/>
          <w:b/>
          <w:bCs/>
          <w:sz w:val="32"/>
          <w:szCs w:val="32"/>
          <w:lang w:val="en-US" w:eastAsia="zh-CN"/>
        </w:rPr>
      </w:pPr>
      <w:r>
        <w:rPr>
          <w:rFonts w:hint="eastAsia" w:ascii="仿宋_GB2312" w:eastAsia="仿宋_GB2312"/>
          <w:color w:val="auto"/>
          <w:sz w:val="32"/>
          <w:szCs w:val="32"/>
          <w:lang w:val="en-US" w:eastAsia="zh-CN"/>
        </w:rPr>
        <w:t>单面室外高清喷绘写真样品一份，内容不限，规格不宜过大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注意：以上（一）至（七）严格按照要求的种类、数量、顺序整理为一套资料（严禁乱提供非本函要求的资料），每页加盖供应商的红章，使用长尾夹固定。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联系人：王博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附件：1.报名信息表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2024年5月20日</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br w:type="page"/>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附件3</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1"/>
        <w:tblpPr w:leftFromText="180" w:rightFromText="180" w:vertAnchor="page" w:horzAnchor="page" w:tblpX="1680" w:tblpY="3132"/>
        <w:tblOverlap w:val="never"/>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425"/>
        <w:gridCol w:w="1905"/>
        <w:gridCol w:w="840"/>
        <w:gridCol w:w="1110"/>
        <w:gridCol w:w="1050"/>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序号</w:t>
            </w: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名称</w:t>
            </w: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要求</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单位</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数量</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价格</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（元）</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金额</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1425"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室外高清</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喷绘写真</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单面</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w:t>
            </w:r>
          </w:p>
        </w:tc>
        <w:tc>
          <w:tcPr>
            <w:tcW w:w="142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rPr>
            </w:pP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单面</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lang w:val="en-US" w:eastAsia="zh-CN"/>
              </w:rPr>
              <w:t>+</w:t>
            </w:r>
            <w:r>
              <w:rPr>
                <w:rFonts w:hint="eastAsia" w:ascii="仿宋_GB2312" w:hAnsi="仿宋_GB2312" w:eastAsia="仿宋_GB2312" w:cs="仿宋_GB2312"/>
                <w:color w:val="auto"/>
                <w:sz w:val="24"/>
                <w:szCs w:val="24"/>
                <w:vertAlign w:val="baseline"/>
              </w:rPr>
              <w:t>5mm雪弗板</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350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w:t>
            </w:r>
          </w:p>
        </w:tc>
        <w:tc>
          <w:tcPr>
            <w:tcW w:w="142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单面</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lang w:val="en-US" w:eastAsia="zh-CN"/>
              </w:rPr>
              <w:t>+10</w:t>
            </w:r>
            <w:r>
              <w:rPr>
                <w:rFonts w:hint="eastAsia" w:ascii="仿宋_GB2312" w:hAnsi="仿宋_GB2312" w:eastAsia="仿宋_GB2312" w:cs="仿宋_GB2312"/>
                <w:color w:val="auto"/>
                <w:sz w:val="24"/>
                <w:szCs w:val="24"/>
                <w:vertAlign w:val="baseline"/>
              </w:rPr>
              <w:t>mm雪弗板</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45</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4</w:t>
            </w:r>
          </w:p>
        </w:tc>
        <w:tc>
          <w:tcPr>
            <w:tcW w:w="142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单面加厚</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/用于门型展架</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35</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5</w:t>
            </w:r>
          </w:p>
        </w:tc>
        <w:tc>
          <w:tcPr>
            <w:tcW w:w="1425"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室外高清</w:t>
            </w:r>
          </w:p>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喷绘写真（小规格）</w:t>
            </w: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A4单页写真贴</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个</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400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6</w:t>
            </w:r>
          </w:p>
        </w:tc>
        <w:tc>
          <w:tcPr>
            <w:tcW w:w="142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A3单页写真贴</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个</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300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7</w:t>
            </w:r>
          </w:p>
        </w:tc>
        <w:tc>
          <w:tcPr>
            <w:tcW w:w="142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22.5* 24.5mm 单面门牌</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w:t>
            </w:r>
            <w:r>
              <w:rPr>
                <w:rFonts w:hint="eastAsia" w:ascii="仿宋_GB2312" w:hAnsi="仿宋_GB2312" w:eastAsia="仿宋_GB2312" w:cs="仿宋_GB2312"/>
                <w:color w:val="auto"/>
                <w:sz w:val="24"/>
                <w:szCs w:val="24"/>
                <w:vertAlign w:val="baseline"/>
              </w:rPr>
              <w:t>5mm雪弗板</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个</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150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8</w:t>
            </w:r>
          </w:p>
        </w:tc>
        <w:tc>
          <w:tcPr>
            <w:tcW w:w="142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A4</w:t>
            </w:r>
            <w:r>
              <w:rPr>
                <w:rFonts w:hint="eastAsia" w:ascii="仿宋_GB2312" w:hAnsi="仿宋_GB2312" w:eastAsia="仿宋_GB2312" w:cs="仿宋_GB2312"/>
                <w:color w:val="auto"/>
                <w:sz w:val="24"/>
                <w:szCs w:val="24"/>
                <w:vertAlign w:val="baseline"/>
                <w:lang w:val="en-US" w:eastAsia="zh-CN"/>
              </w:rPr>
              <w:t>单面</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w:t>
            </w:r>
            <w:r>
              <w:rPr>
                <w:rFonts w:hint="eastAsia" w:ascii="仿宋_GB2312" w:hAnsi="仿宋_GB2312" w:eastAsia="仿宋_GB2312" w:cs="仿宋_GB2312"/>
                <w:color w:val="auto"/>
                <w:sz w:val="24"/>
                <w:szCs w:val="24"/>
                <w:vertAlign w:val="baseline"/>
              </w:rPr>
              <w:t>5mm雪弗板</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个</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300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9</w:t>
            </w:r>
          </w:p>
        </w:tc>
        <w:tc>
          <w:tcPr>
            <w:tcW w:w="142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A3</w:t>
            </w:r>
            <w:r>
              <w:rPr>
                <w:rFonts w:hint="eastAsia" w:ascii="仿宋_GB2312" w:hAnsi="仿宋_GB2312" w:eastAsia="仿宋_GB2312" w:cs="仿宋_GB2312"/>
                <w:color w:val="auto"/>
                <w:sz w:val="24"/>
                <w:szCs w:val="24"/>
                <w:vertAlign w:val="baseline"/>
                <w:lang w:val="en-US" w:eastAsia="zh-CN"/>
              </w:rPr>
              <w:t>单面</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+5</w:t>
            </w:r>
            <w:r>
              <w:rPr>
                <w:rFonts w:hint="eastAsia" w:ascii="仿宋_GB2312" w:hAnsi="仿宋_GB2312" w:eastAsia="仿宋_GB2312" w:cs="仿宋_GB2312"/>
                <w:color w:val="auto"/>
                <w:sz w:val="24"/>
                <w:szCs w:val="24"/>
                <w:vertAlign w:val="baseline"/>
              </w:rPr>
              <w:t>mm雪弗板</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个</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200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sz w:val="24"/>
                <w:szCs w:val="24"/>
                <w:vertAlign w:val="baseline"/>
                <w:lang w:val="en-US" w:eastAsia="zh-CN"/>
              </w:rPr>
              <w:t>10</w:t>
            </w: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照片</w:t>
            </w: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125*90mm</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kern w:val="2"/>
                <w:sz w:val="24"/>
                <w:szCs w:val="24"/>
                <w:vertAlign w:val="baseline"/>
                <w:lang w:val="en-US" w:eastAsia="zh-CN" w:bidi="ar-SA"/>
              </w:rPr>
            </w:pPr>
            <w:r>
              <w:rPr>
                <w:rFonts w:hint="eastAsia" w:ascii="仿宋_GB2312" w:hAnsi="仿宋_GB2312" w:eastAsia="仿宋_GB2312" w:cs="仿宋_GB2312"/>
                <w:b w:val="0"/>
                <w:bCs w:val="0"/>
                <w:color w:val="auto"/>
                <w:sz w:val="24"/>
                <w:szCs w:val="24"/>
                <w:vertAlign w:val="baseline"/>
                <w:lang w:val="en-US" w:eastAsia="zh-CN"/>
              </w:rPr>
              <w:t>高光相纸</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sz w:val="24"/>
                <w:szCs w:val="24"/>
                <w:vertAlign w:val="baseline"/>
                <w:lang w:val="en-US" w:eastAsia="zh-CN"/>
              </w:rPr>
              <w:t>张</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240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11</w:t>
            </w: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地贴</w:t>
            </w: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3m品牌</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70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12</w:t>
            </w:r>
          </w:p>
        </w:tc>
        <w:tc>
          <w:tcPr>
            <w:tcW w:w="1425"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广告贴纸</w:t>
            </w: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镂空字</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w:t>
            </w:r>
          </w:p>
        </w:tc>
        <w:tc>
          <w:tcPr>
            <w:tcW w:w="1110" w:type="dxa"/>
            <w:noWrap w:val="0"/>
            <w:vAlign w:val="center"/>
          </w:tcPr>
          <w:p>
            <w:pPr>
              <w:keepNext w:val="0"/>
              <w:keepLines w:val="0"/>
              <w:pageBreakBefore w:val="0"/>
              <w:widowControl w:val="0"/>
              <w:tabs>
                <w:tab w:val="left" w:pos="476"/>
              </w:tabs>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13</w:t>
            </w:r>
          </w:p>
        </w:tc>
        <w:tc>
          <w:tcPr>
            <w:tcW w:w="142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带底贴</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14</w:t>
            </w:r>
          </w:p>
        </w:tc>
        <w:tc>
          <w:tcPr>
            <w:tcW w:w="1425"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color w:val="auto"/>
                <w:sz w:val="24"/>
                <w:szCs w:val="24"/>
                <w:vertAlign w:val="baseline"/>
              </w:rPr>
              <w:t>横幅</w:t>
            </w: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700幅宽/</w:t>
            </w:r>
            <w:r>
              <w:rPr>
                <w:rFonts w:hint="eastAsia" w:ascii="仿宋_GB2312" w:hAnsi="仿宋_GB2312" w:eastAsia="仿宋_GB2312" w:cs="仿宋_GB2312"/>
                <w:color w:val="auto"/>
                <w:sz w:val="24"/>
                <w:szCs w:val="24"/>
                <w:vertAlign w:val="baseline"/>
              </w:rPr>
              <w:t>激光打印</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m</w:t>
            </w:r>
          </w:p>
        </w:tc>
        <w:tc>
          <w:tcPr>
            <w:tcW w:w="1110" w:type="dxa"/>
            <w:noWrap w:val="0"/>
            <w:vAlign w:val="center"/>
          </w:tcPr>
          <w:p>
            <w:pPr>
              <w:keepNext w:val="0"/>
              <w:keepLines w:val="0"/>
              <w:pageBreakBefore w:val="0"/>
              <w:widowControl w:val="0"/>
              <w:tabs>
                <w:tab w:val="left" w:pos="476"/>
              </w:tabs>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150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15</w:t>
            </w:r>
          </w:p>
        </w:tc>
        <w:tc>
          <w:tcPr>
            <w:tcW w:w="142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900幅宽/</w:t>
            </w:r>
            <w:r>
              <w:rPr>
                <w:rFonts w:hint="eastAsia" w:ascii="仿宋_GB2312" w:hAnsi="仿宋_GB2312" w:eastAsia="仿宋_GB2312" w:cs="仿宋_GB2312"/>
                <w:color w:val="auto"/>
                <w:sz w:val="24"/>
                <w:szCs w:val="24"/>
                <w:vertAlign w:val="baseline"/>
              </w:rPr>
              <w:t>激光打印</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m</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16</w:t>
            </w:r>
          </w:p>
        </w:tc>
        <w:tc>
          <w:tcPr>
            <w:tcW w:w="1425"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常规患者床头牌</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（内容同现使用中）</w:t>
            </w: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亚克力/240*180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个</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12</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17</w:t>
            </w:r>
          </w:p>
        </w:tc>
        <w:tc>
          <w:tcPr>
            <w:tcW w:w="142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亚克力/220*160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个</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18</w:t>
            </w:r>
          </w:p>
        </w:tc>
        <w:tc>
          <w:tcPr>
            <w:tcW w:w="1425"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卡槽</w:t>
            </w: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亚克力/A4</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个</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19</w:t>
            </w:r>
          </w:p>
        </w:tc>
        <w:tc>
          <w:tcPr>
            <w:tcW w:w="142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亚克力/5吋</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个</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200</w:t>
            </w:r>
          </w:p>
        </w:tc>
        <w:tc>
          <w:tcPr>
            <w:tcW w:w="142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亚克力/127*115</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个</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15</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21</w:t>
            </w: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pPr>
            <w:r>
              <w:rPr>
                <w:rFonts w:hint="eastAsia" w:ascii="仿宋_GB2312" w:hAnsi="仿宋_GB2312" w:eastAsia="仿宋_GB2312" w:cs="仿宋_GB2312"/>
                <w:color w:val="auto"/>
                <w:sz w:val="24"/>
                <w:szCs w:val="24"/>
                <w:vertAlign w:val="baseline"/>
                <w:lang w:val="en-US" w:eastAsia="zh-CN"/>
              </w:rPr>
              <w:t>姓名条</w:t>
            </w: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整合于A4卡片纸</w:t>
            </w:r>
          </w:p>
          <w:p>
            <w:pPr>
              <w:keepNext w:val="0"/>
              <w:keepLines w:val="0"/>
              <w:pageBreakBefore w:val="0"/>
              <w:widowControl w:val="0"/>
              <w:kinsoku/>
              <w:wordWrap/>
              <w:overflowPunct/>
              <w:topLinePunct w:val="0"/>
              <w:autoSpaceDE/>
              <w:autoSpaceDN/>
              <w:bidi w:val="0"/>
              <w:adjustRightInd/>
              <w:snapToGrid w:val="0"/>
              <w:jc w:val="center"/>
              <w:textAlignment w:val="auto"/>
            </w:pPr>
            <w:r>
              <w:rPr>
                <w:rFonts w:hint="eastAsia" w:ascii="仿宋_GB2312" w:hAnsi="仿宋_GB2312" w:eastAsia="仿宋_GB2312" w:cs="仿宋_GB2312"/>
                <w:color w:val="auto"/>
                <w:sz w:val="24"/>
                <w:szCs w:val="24"/>
                <w:vertAlign w:val="baseline"/>
                <w:lang w:val="en-US" w:eastAsia="zh-CN"/>
              </w:rPr>
              <w:t>彩色打印</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pPr>
            <w:r>
              <w:rPr>
                <w:rFonts w:hint="eastAsia" w:ascii="仿宋_GB2312" w:hAnsi="仿宋_GB2312" w:eastAsia="仿宋_GB2312" w:cs="仿宋_GB2312"/>
                <w:color w:val="auto"/>
                <w:sz w:val="24"/>
                <w:szCs w:val="24"/>
                <w:vertAlign w:val="baseline"/>
                <w:lang w:val="en-US" w:eastAsia="zh-CN"/>
              </w:rPr>
              <w:t>张</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pPr>
            <w:r>
              <w:rPr>
                <w:rFonts w:hint="eastAsia" w:ascii="仿宋_GB2312" w:hAnsi="仿宋_GB2312" w:eastAsia="仿宋_GB2312" w:cs="仿宋_GB2312"/>
                <w:color w:val="auto"/>
                <w:sz w:val="24"/>
                <w:szCs w:val="24"/>
                <w:vertAlign w:val="baseline"/>
                <w:lang w:val="en-US" w:eastAsia="zh-CN"/>
              </w:rPr>
              <w:t>50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pP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22</w:t>
            </w:r>
          </w:p>
        </w:tc>
        <w:tc>
          <w:tcPr>
            <w:tcW w:w="1425" w:type="dxa"/>
            <w:vMerge w:val="restart"/>
            <w:vAlign w:val="center"/>
          </w:tcPr>
          <w:p>
            <w:pPr>
              <w:keepNext w:val="0"/>
              <w:keepLines w:val="0"/>
              <w:pageBreakBefore w:val="0"/>
              <w:widowControl w:val="0"/>
              <w:kinsoku/>
              <w:wordWrap/>
              <w:overflowPunct/>
              <w:topLinePunct w:val="0"/>
              <w:autoSpaceDE/>
              <w:autoSpaceDN/>
              <w:bidi w:val="0"/>
              <w:adjustRightInd/>
              <w:snapToGrid w:val="0"/>
              <w:jc w:val="center"/>
              <w:textAlignment w:val="auto"/>
            </w:pPr>
            <w:r>
              <w:rPr>
                <w:rFonts w:hint="eastAsia" w:ascii="仿宋_GB2312" w:hAnsi="仿宋_GB2312" w:eastAsia="仿宋_GB2312" w:cs="仿宋_GB2312"/>
                <w:color w:val="auto"/>
                <w:sz w:val="24"/>
                <w:szCs w:val="24"/>
                <w:vertAlign w:val="baseline"/>
                <w:lang w:val="en-US" w:eastAsia="zh-CN"/>
              </w:rPr>
              <w:t>打印塑封</w:t>
            </w:r>
          </w:p>
        </w:tc>
        <w:tc>
          <w:tcPr>
            <w:tcW w:w="19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pPr>
            <w:r>
              <w:rPr>
                <w:rFonts w:hint="eastAsia" w:ascii="仿宋_GB2312" w:hAnsi="仿宋_GB2312" w:eastAsia="仿宋_GB2312" w:cs="仿宋_GB2312"/>
                <w:color w:val="auto"/>
                <w:sz w:val="24"/>
                <w:szCs w:val="24"/>
                <w:vertAlign w:val="baseline"/>
                <w:lang w:val="en-US" w:eastAsia="zh-CN"/>
              </w:rPr>
              <w:t>A4单面彩色打印</w:t>
            </w:r>
          </w:p>
        </w:tc>
        <w:tc>
          <w:tcPr>
            <w:tcW w:w="84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pPr>
            <w:r>
              <w:rPr>
                <w:rFonts w:hint="eastAsia" w:ascii="仿宋_GB2312" w:hAnsi="仿宋_GB2312" w:eastAsia="仿宋_GB2312" w:cs="仿宋_GB2312"/>
                <w:color w:val="auto"/>
                <w:sz w:val="24"/>
                <w:szCs w:val="24"/>
                <w:vertAlign w:val="baseline"/>
                <w:lang w:val="en-US" w:eastAsia="zh-CN"/>
              </w:rPr>
              <w:t>张</w:t>
            </w:r>
          </w:p>
        </w:tc>
        <w:tc>
          <w:tcPr>
            <w:tcW w:w="1110" w:type="dxa"/>
            <w:vAlign w:val="center"/>
          </w:tcPr>
          <w:p>
            <w:pPr>
              <w:keepNext w:val="0"/>
              <w:keepLines w:val="0"/>
              <w:pageBreakBefore w:val="0"/>
              <w:widowControl w:val="0"/>
              <w:tabs>
                <w:tab w:val="left" w:pos="576"/>
              </w:tabs>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50</w:t>
            </w:r>
          </w:p>
        </w:tc>
        <w:tc>
          <w:tcPr>
            <w:tcW w:w="105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pPr>
          </w:p>
        </w:tc>
        <w:tc>
          <w:tcPr>
            <w:tcW w:w="141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23</w:t>
            </w:r>
          </w:p>
        </w:tc>
        <w:tc>
          <w:tcPr>
            <w:tcW w:w="1425" w:type="dxa"/>
            <w:vMerge w:val="continue"/>
            <w:vAlign w:val="center"/>
          </w:tcPr>
          <w:p>
            <w:pPr>
              <w:keepNext w:val="0"/>
              <w:keepLines w:val="0"/>
              <w:pageBreakBefore w:val="0"/>
              <w:widowControl w:val="0"/>
              <w:kinsoku/>
              <w:wordWrap/>
              <w:overflowPunct/>
              <w:topLinePunct w:val="0"/>
              <w:autoSpaceDE/>
              <w:autoSpaceDN/>
              <w:bidi w:val="0"/>
              <w:adjustRightInd/>
              <w:snapToGrid w:val="0"/>
              <w:jc w:val="center"/>
              <w:textAlignment w:val="auto"/>
            </w:pPr>
          </w:p>
        </w:tc>
        <w:tc>
          <w:tcPr>
            <w:tcW w:w="19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pPr>
            <w:r>
              <w:rPr>
                <w:rFonts w:hint="eastAsia" w:ascii="仿宋_GB2312" w:hAnsi="仿宋_GB2312" w:eastAsia="仿宋_GB2312" w:cs="仿宋_GB2312"/>
                <w:color w:val="auto"/>
                <w:sz w:val="24"/>
                <w:szCs w:val="24"/>
                <w:vertAlign w:val="baseline"/>
                <w:lang w:val="en-US" w:eastAsia="zh-CN"/>
              </w:rPr>
              <w:t>A4双面彩色打印</w:t>
            </w:r>
          </w:p>
        </w:tc>
        <w:tc>
          <w:tcPr>
            <w:tcW w:w="84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pPr>
            <w:r>
              <w:rPr>
                <w:rFonts w:hint="eastAsia" w:ascii="仿宋_GB2312" w:hAnsi="仿宋_GB2312" w:eastAsia="仿宋_GB2312" w:cs="仿宋_GB2312"/>
                <w:color w:val="auto"/>
                <w:sz w:val="24"/>
                <w:szCs w:val="24"/>
                <w:vertAlign w:val="baseline"/>
                <w:lang w:val="en-US" w:eastAsia="zh-CN"/>
              </w:rPr>
              <w:t>张</w:t>
            </w:r>
          </w:p>
        </w:tc>
        <w:tc>
          <w:tcPr>
            <w:tcW w:w="111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60</w:t>
            </w:r>
          </w:p>
        </w:tc>
        <w:tc>
          <w:tcPr>
            <w:tcW w:w="105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pPr>
          </w:p>
        </w:tc>
        <w:tc>
          <w:tcPr>
            <w:tcW w:w="141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24</w:t>
            </w:r>
          </w:p>
        </w:tc>
        <w:tc>
          <w:tcPr>
            <w:tcW w:w="142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pPr>
            <w:r>
              <w:rPr>
                <w:rFonts w:hint="eastAsia" w:ascii="仿宋_GB2312" w:hAnsi="仿宋_GB2312" w:eastAsia="仿宋_GB2312" w:cs="仿宋_GB2312"/>
                <w:color w:val="auto"/>
                <w:sz w:val="24"/>
                <w:szCs w:val="24"/>
                <w:vertAlign w:val="baseline"/>
              </w:rPr>
              <w:t>铜牌</w:t>
            </w:r>
          </w:p>
        </w:tc>
        <w:tc>
          <w:tcPr>
            <w:tcW w:w="19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pPr>
            <w:r>
              <w:rPr>
                <w:rFonts w:hint="eastAsia" w:ascii="仿宋_GB2312" w:hAnsi="仿宋_GB2312" w:eastAsia="仿宋_GB2312" w:cs="仿宋_GB2312"/>
                <w:color w:val="auto"/>
                <w:sz w:val="24"/>
                <w:szCs w:val="24"/>
                <w:vertAlign w:val="baseline"/>
              </w:rPr>
              <w:t>0.8</w:t>
            </w:r>
            <w:r>
              <w:rPr>
                <w:rFonts w:hint="eastAsia" w:ascii="仿宋_GB2312" w:hAnsi="仿宋_GB2312" w:eastAsia="仿宋_GB2312" w:cs="仿宋_GB2312"/>
                <w:color w:val="auto"/>
                <w:sz w:val="24"/>
                <w:szCs w:val="24"/>
                <w:vertAlign w:val="baseline"/>
                <w:lang w:val="en-US" w:eastAsia="zh-CN"/>
              </w:rPr>
              <w:t>0</w:t>
            </w:r>
            <w:r>
              <w:rPr>
                <w:rFonts w:hint="eastAsia" w:ascii="仿宋_GB2312" w:hAnsi="仿宋_GB2312" w:eastAsia="仿宋_GB2312" w:cs="仿宋_GB2312"/>
                <w:color w:val="auto"/>
                <w:sz w:val="24"/>
                <w:szCs w:val="24"/>
                <w:vertAlign w:val="baseline"/>
              </w:rPr>
              <w:t>钛金板</w:t>
            </w:r>
            <w:r>
              <w:rPr>
                <w:rFonts w:hint="eastAsia" w:ascii="仿宋_GB2312" w:hAnsi="仿宋_GB2312" w:eastAsia="仿宋_GB2312" w:cs="仿宋_GB2312"/>
                <w:color w:val="auto"/>
                <w:sz w:val="24"/>
                <w:szCs w:val="24"/>
                <w:vertAlign w:val="baseline"/>
                <w:lang w:val="en-US" w:eastAsia="zh-CN"/>
              </w:rPr>
              <w:t>蚀刻/700*500</w:t>
            </w:r>
          </w:p>
        </w:tc>
        <w:tc>
          <w:tcPr>
            <w:tcW w:w="84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pPr>
            <w:r>
              <w:rPr>
                <w:rFonts w:hint="eastAsia" w:ascii="仿宋_GB2312" w:hAnsi="仿宋_GB2312" w:eastAsia="仿宋_GB2312" w:cs="仿宋_GB2312"/>
                <w:color w:val="auto"/>
                <w:sz w:val="24"/>
                <w:szCs w:val="24"/>
                <w:vertAlign w:val="baseline"/>
                <w:lang w:val="en-US" w:eastAsia="zh-CN"/>
              </w:rPr>
              <w:t>块</w:t>
            </w:r>
          </w:p>
        </w:tc>
        <w:tc>
          <w:tcPr>
            <w:tcW w:w="1110" w:type="dxa"/>
            <w:vAlign w:val="center"/>
          </w:tcPr>
          <w:p>
            <w:pPr>
              <w:keepNext w:val="0"/>
              <w:keepLines w:val="0"/>
              <w:pageBreakBefore w:val="0"/>
              <w:widowControl w:val="0"/>
              <w:tabs>
                <w:tab w:val="left" w:pos="592"/>
              </w:tabs>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8</w:t>
            </w:r>
          </w:p>
        </w:tc>
        <w:tc>
          <w:tcPr>
            <w:tcW w:w="105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pPr>
          </w:p>
        </w:tc>
        <w:tc>
          <w:tcPr>
            <w:tcW w:w="141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25</w:t>
            </w:r>
          </w:p>
        </w:tc>
        <w:tc>
          <w:tcPr>
            <w:tcW w:w="1425" w:type="dxa"/>
            <w:vMerge w:val="restart"/>
            <w:vAlign w:val="center"/>
          </w:tcPr>
          <w:p>
            <w:pPr>
              <w:keepNext w:val="0"/>
              <w:keepLines w:val="0"/>
              <w:pageBreakBefore w:val="0"/>
              <w:widowControl w:val="0"/>
              <w:kinsoku/>
              <w:wordWrap/>
              <w:overflowPunct/>
              <w:topLinePunct w:val="0"/>
              <w:autoSpaceDE/>
              <w:autoSpaceDN/>
              <w:bidi w:val="0"/>
              <w:adjustRightInd/>
              <w:snapToGrid w:val="0"/>
              <w:jc w:val="center"/>
              <w:textAlignment w:val="auto"/>
            </w:pPr>
            <w:r>
              <w:rPr>
                <w:rFonts w:hint="eastAsia" w:ascii="仿宋_GB2312" w:hAnsi="仿宋_GB2312" w:eastAsia="仿宋_GB2312" w:cs="仿宋_GB2312"/>
                <w:color w:val="auto"/>
                <w:sz w:val="24"/>
                <w:szCs w:val="24"/>
                <w:vertAlign w:val="baseline"/>
                <w:lang w:val="en-US" w:eastAsia="zh-CN"/>
              </w:rPr>
              <w:t>不干胶贴</w:t>
            </w:r>
          </w:p>
        </w:tc>
        <w:tc>
          <w:tcPr>
            <w:tcW w:w="19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pPr>
            <w:r>
              <w:rPr>
                <w:rFonts w:hint="eastAsia" w:ascii="仿宋_GB2312" w:hAnsi="仿宋_GB2312" w:eastAsia="仿宋_GB2312" w:cs="仿宋_GB2312"/>
                <w:color w:val="auto"/>
                <w:sz w:val="24"/>
                <w:szCs w:val="24"/>
                <w:vertAlign w:val="baseline"/>
                <w:lang w:val="en-US" w:eastAsia="zh-CN"/>
              </w:rPr>
              <w:t>A4单面彩色打印</w:t>
            </w:r>
          </w:p>
        </w:tc>
        <w:tc>
          <w:tcPr>
            <w:tcW w:w="84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pPr>
            <w:r>
              <w:rPr>
                <w:rFonts w:hint="eastAsia" w:ascii="仿宋_GB2312" w:hAnsi="仿宋_GB2312" w:eastAsia="仿宋_GB2312" w:cs="仿宋_GB2312"/>
                <w:color w:val="auto"/>
                <w:sz w:val="24"/>
                <w:szCs w:val="24"/>
                <w:vertAlign w:val="baseline"/>
                <w:lang w:val="en-US" w:eastAsia="zh-CN"/>
              </w:rPr>
              <w:t>张</w:t>
            </w:r>
          </w:p>
        </w:tc>
        <w:tc>
          <w:tcPr>
            <w:tcW w:w="111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50</w:t>
            </w:r>
          </w:p>
        </w:tc>
        <w:tc>
          <w:tcPr>
            <w:tcW w:w="105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pPr>
          </w:p>
        </w:tc>
        <w:tc>
          <w:tcPr>
            <w:tcW w:w="141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26</w:t>
            </w:r>
          </w:p>
        </w:tc>
        <w:tc>
          <w:tcPr>
            <w:tcW w:w="1425" w:type="dxa"/>
            <w:vMerge w:val="continue"/>
            <w:vAlign w:val="center"/>
          </w:tcPr>
          <w:p>
            <w:pPr>
              <w:keepNext w:val="0"/>
              <w:keepLines w:val="0"/>
              <w:pageBreakBefore w:val="0"/>
              <w:widowControl w:val="0"/>
              <w:kinsoku/>
              <w:wordWrap/>
              <w:overflowPunct/>
              <w:topLinePunct w:val="0"/>
              <w:autoSpaceDE/>
              <w:autoSpaceDN/>
              <w:bidi w:val="0"/>
              <w:adjustRightInd/>
              <w:snapToGrid w:val="0"/>
              <w:jc w:val="center"/>
              <w:textAlignment w:val="auto"/>
            </w:pPr>
          </w:p>
        </w:tc>
        <w:tc>
          <w:tcPr>
            <w:tcW w:w="19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pPr>
            <w:r>
              <w:rPr>
                <w:rFonts w:hint="eastAsia" w:ascii="仿宋_GB2312" w:hAnsi="仿宋_GB2312" w:eastAsia="仿宋_GB2312" w:cs="仿宋_GB2312"/>
                <w:color w:val="auto"/>
                <w:sz w:val="24"/>
                <w:szCs w:val="24"/>
                <w:vertAlign w:val="baseline"/>
                <w:lang w:val="en-US" w:eastAsia="zh-CN"/>
              </w:rPr>
              <w:t>A3单面彩色打印</w:t>
            </w:r>
          </w:p>
        </w:tc>
        <w:tc>
          <w:tcPr>
            <w:tcW w:w="84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pPr>
            <w:r>
              <w:rPr>
                <w:rFonts w:hint="eastAsia" w:ascii="仿宋_GB2312" w:hAnsi="仿宋_GB2312" w:eastAsia="仿宋_GB2312" w:cs="仿宋_GB2312"/>
                <w:color w:val="auto"/>
                <w:sz w:val="24"/>
                <w:szCs w:val="24"/>
                <w:vertAlign w:val="baseline"/>
                <w:lang w:val="en-US" w:eastAsia="zh-CN"/>
              </w:rPr>
              <w:t>张</w:t>
            </w:r>
          </w:p>
        </w:tc>
        <w:tc>
          <w:tcPr>
            <w:tcW w:w="111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w:t>
            </w:r>
          </w:p>
        </w:tc>
        <w:tc>
          <w:tcPr>
            <w:tcW w:w="105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pPr>
          </w:p>
        </w:tc>
        <w:tc>
          <w:tcPr>
            <w:tcW w:w="141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27</w:t>
            </w:r>
          </w:p>
        </w:tc>
        <w:tc>
          <w:tcPr>
            <w:tcW w:w="1425" w:type="dxa"/>
            <w:vMerge w:val="restart"/>
            <w:vAlign w:val="center"/>
          </w:tcPr>
          <w:p>
            <w:pPr>
              <w:keepNext w:val="0"/>
              <w:keepLines w:val="0"/>
              <w:pageBreakBefore w:val="0"/>
              <w:widowControl w:val="0"/>
              <w:kinsoku/>
              <w:wordWrap/>
              <w:overflowPunct/>
              <w:topLinePunct w:val="0"/>
              <w:autoSpaceDE/>
              <w:autoSpaceDN/>
              <w:bidi w:val="0"/>
              <w:adjustRightInd/>
              <w:snapToGrid w:val="0"/>
              <w:jc w:val="center"/>
              <w:textAlignment w:val="auto"/>
            </w:pPr>
            <w:r>
              <w:rPr>
                <w:rFonts w:hint="eastAsia" w:ascii="仿宋_GB2312" w:hAnsi="仿宋_GB2312" w:eastAsia="仿宋_GB2312" w:cs="仿宋_GB2312"/>
                <w:color w:val="auto"/>
                <w:sz w:val="24"/>
                <w:szCs w:val="24"/>
                <w:vertAlign w:val="baseline"/>
                <w:lang w:val="en-US" w:eastAsia="zh-CN"/>
              </w:rPr>
              <w:t>雕刻字</w:t>
            </w:r>
          </w:p>
        </w:tc>
        <w:tc>
          <w:tcPr>
            <w:tcW w:w="19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pPr>
            <w:r>
              <w:rPr>
                <w:rFonts w:hint="eastAsia" w:ascii="仿宋_GB2312" w:hAnsi="仿宋_GB2312" w:eastAsia="仿宋_GB2312" w:cs="仿宋_GB2312"/>
                <w:color w:val="auto"/>
                <w:sz w:val="24"/>
                <w:szCs w:val="24"/>
                <w:vertAlign w:val="baseline"/>
                <w:lang w:val="en-US" w:eastAsia="zh-CN"/>
              </w:rPr>
              <w:t>+</w:t>
            </w:r>
            <w:r>
              <w:rPr>
                <w:rFonts w:hint="eastAsia" w:ascii="仿宋_GB2312" w:hAnsi="仿宋_GB2312" w:eastAsia="仿宋_GB2312" w:cs="仿宋_GB2312"/>
                <w:color w:val="auto"/>
                <w:sz w:val="24"/>
                <w:szCs w:val="24"/>
                <w:vertAlign w:val="baseline"/>
              </w:rPr>
              <w:t>5mm雪弗板</w:t>
            </w:r>
          </w:p>
        </w:tc>
        <w:tc>
          <w:tcPr>
            <w:tcW w:w="84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pPr>
            <w:r>
              <w:rPr>
                <w:rFonts w:hint="eastAsia" w:ascii="仿宋_GB2312" w:hAnsi="仿宋_GB2312" w:eastAsia="仿宋_GB2312" w:cs="仿宋_GB2312"/>
                <w:color w:val="auto"/>
                <w:sz w:val="24"/>
                <w:szCs w:val="24"/>
                <w:vertAlign w:val="baseline"/>
                <w:lang w:val="en-US" w:eastAsia="zh-CN"/>
              </w:rPr>
              <w:t>㎡</w:t>
            </w:r>
          </w:p>
        </w:tc>
        <w:tc>
          <w:tcPr>
            <w:tcW w:w="111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105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pPr>
          </w:p>
        </w:tc>
        <w:tc>
          <w:tcPr>
            <w:tcW w:w="141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28</w:t>
            </w:r>
          </w:p>
        </w:tc>
        <w:tc>
          <w:tcPr>
            <w:tcW w:w="1425" w:type="dxa"/>
            <w:vMerge w:val="continue"/>
            <w:vAlign w:val="center"/>
          </w:tcPr>
          <w:p>
            <w:pPr>
              <w:keepNext w:val="0"/>
              <w:keepLines w:val="0"/>
              <w:pageBreakBefore w:val="0"/>
              <w:widowControl w:val="0"/>
              <w:kinsoku/>
              <w:wordWrap/>
              <w:overflowPunct/>
              <w:topLinePunct w:val="0"/>
              <w:autoSpaceDE/>
              <w:autoSpaceDN/>
              <w:bidi w:val="0"/>
              <w:adjustRightInd/>
              <w:snapToGrid w:val="0"/>
              <w:jc w:val="center"/>
              <w:textAlignment w:val="auto"/>
            </w:pPr>
          </w:p>
        </w:tc>
        <w:tc>
          <w:tcPr>
            <w:tcW w:w="19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pPr>
            <w:r>
              <w:rPr>
                <w:rFonts w:hint="eastAsia" w:ascii="仿宋_GB2312" w:hAnsi="仿宋_GB2312" w:eastAsia="仿宋_GB2312" w:cs="仿宋_GB2312"/>
                <w:color w:val="auto"/>
                <w:sz w:val="24"/>
                <w:szCs w:val="24"/>
                <w:vertAlign w:val="baseline"/>
                <w:lang w:val="en-US" w:eastAsia="zh-CN"/>
              </w:rPr>
              <w:t>+10</w:t>
            </w:r>
            <w:r>
              <w:rPr>
                <w:rFonts w:hint="eastAsia" w:ascii="仿宋_GB2312" w:hAnsi="仿宋_GB2312" w:eastAsia="仿宋_GB2312" w:cs="仿宋_GB2312"/>
                <w:color w:val="auto"/>
                <w:sz w:val="24"/>
                <w:szCs w:val="24"/>
                <w:vertAlign w:val="baseline"/>
              </w:rPr>
              <w:t>mm雪弗板</w:t>
            </w:r>
          </w:p>
        </w:tc>
        <w:tc>
          <w:tcPr>
            <w:tcW w:w="84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pPr>
            <w:r>
              <w:rPr>
                <w:rFonts w:hint="eastAsia" w:ascii="仿宋_GB2312" w:hAnsi="仿宋_GB2312" w:eastAsia="仿宋_GB2312" w:cs="仿宋_GB2312"/>
                <w:color w:val="auto"/>
                <w:sz w:val="24"/>
                <w:szCs w:val="24"/>
                <w:vertAlign w:val="baseline"/>
                <w:lang w:val="en-US" w:eastAsia="zh-CN"/>
              </w:rPr>
              <w:t>㎡</w:t>
            </w:r>
          </w:p>
        </w:tc>
        <w:tc>
          <w:tcPr>
            <w:tcW w:w="111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15</w:t>
            </w:r>
          </w:p>
        </w:tc>
        <w:tc>
          <w:tcPr>
            <w:tcW w:w="105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pPr>
          </w:p>
        </w:tc>
        <w:tc>
          <w:tcPr>
            <w:tcW w:w="141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29</w:t>
            </w:r>
          </w:p>
        </w:tc>
        <w:tc>
          <w:tcPr>
            <w:tcW w:w="1425" w:type="dxa"/>
            <w:vMerge w:val="continue"/>
            <w:vAlign w:val="center"/>
          </w:tcPr>
          <w:p>
            <w:pPr>
              <w:keepNext w:val="0"/>
              <w:keepLines w:val="0"/>
              <w:pageBreakBefore w:val="0"/>
              <w:widowControl w:val="0"/>
              <w:kinsoku/>
              <w:wordWrap/>
              <w:overflowPunct/>
              <w:topLinePunct w:val="0"/>
              <w:autoSpaceDE/>
              <w:autoSpaceDN/>
              <w:bidi w:val="0"/>
              <w:adjustRightInd/>
              <w:snapToGrid w:val="0"/>
              <w:jc w:val="center"/>
              <w:textAlignment w:val="auto"/>
            </w:pPr>
          </w:p>
        </w:tc>
        <w:tc>
          <w:tcPr>
            <w:tcW w:w="19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pPr>
            <w:r>
              <w:rPr>
                <w:rFonts w:hint="eastAsia" w:ascii="仿宋_GB2312" w:hAnsi="仿宋_GB2312" w:eastAsia="仿宋_GB2312" w:cs="仿宋_GB2312"/>
                <w:color w:val="auto"/>
                <w:sz w:val="24"/>
                <w:szCs w:val="24"/>
                <w:vertAlign w:val="baseline"/>
                <w:lang w:val="en-US" w:eastAsia="zh-CN"/>
              </w:rPr>
              <w:t>+15</w:t>
            </w:r>
            <w:r>
              <w:rPr>
                <w:rFonts w:hint="eastAsia" w:ascii="仿宋_GB2312" w:hAnsi="仿宋_GB2312" w:eastAsia="仿宋_GB2312" w:cs="仿宋_GB2312"/>
                <w:color w:val="auto"/>
                <w:sz w:val="24"/>
                <w:szCs w:val="24"/>
                <w:vertAlign w:val="baseline"/>
              </w:rPr>
              <w:t>mm雪弗板</w:t>
            </w:r>
          </w:p>
        </w:tc>
        <w:tc>
          <w:tcPr>
            <w:tcW w:w="84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pPr>
            <w:r>
              <w:rPr>
                <w:rFonts w:hint="eastAsia" w:ascii="仿宋_GB2312" w:hAnsi="仿宋_GB2312" w:eastAsia="仿宋_GB2312" w:cs="仿宋_GB2312"/>
                <w:color w:val="auto"/>
                <w:sz w:val="24"/>
                <w:szCs w:val="24"/>
                <w:vertAlign w:val="baseline"/>
                <w:lang w:val="en-US" w:eastAsia="zh-CN"/>
              </w:rPr>
              <w:t>㎡</w:t>
            </w:r>
          </w:p>
        </w:tc>
        <w:tc>
          <w:tcPr>
            <w:tcW w:w="111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50</w:t>
            </w:r>
          </w:p>
        </w:tc>
        <w:tc>
          <w:tcPr>
            <w:tcW w:w="105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pPr>
          </w:p>
        </w:tc>
        <w:tc>
          <w:tcPr>
            <w:tcW w:w="141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30</w:t>
            </w:r>
          </w:p>
        </w:tc>
        <w:tc>
          <w:tcPr>
            <w:tcW w:w="142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pPr>
            <w:r>
              <w:rPr>
                <w:rFonts w:hint="eastAsia" w:ascii="仿宋_GB2312" w:hAnsi="仿宋_GB2312" w:eastAsia="仿宋_GB2312" w:cs="仿宋_GB2312"/>
                <w:color w:val="auto"/>
                <w:sz w:val="24"/>
                <w:szCs w:val="24"/>
                <w:vertAlign w:val="baseline"/>
                <w:lang w:val="en-US" w:eastAsia="zh-CN"/>
              </w:rPr>
              <w:t>脚手架费用</w:t>
            </w:r>
          </w:p>
        </w:tc>
        <w:tc>
          <w:tcPr>
            <w:tcW w:w="19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pPr>
            <w:r>
              <w:rPr>
                <w:rFonts w:hint="eastAsia" w:ascii="仿宋_GB2312" w:hAnsi="仿宋_GB2312" w:eastAsia="仿宋_GB2312" w:cs="仿宋_GB2312"/>
                <w:color w:val="auto"/>
                <w:sz w:val="24"/>
                <w:szCs w:val="24"/>
                <w:vertAlign w:val="baseline"/>
                <w:lang w:eastAsia="zh-CN"/>
              </w:rPr>
              <w:t>（</w:t>
            </w:r>
            <w:r>
              <w:rPr>
                <w:rFonts w:hint="eastAsia" w:ascii="仿宋_GB2312" w:hAnsi="仿宋_GB2312" w:eastAsia="仿宋_GB2312" w:cs="仿宋_GB2312"/>
                <w:color w:val="auto"/>
                <w:sz w:val="24"/>
                <w:szCs w:val="24"/>
                <w:vertAlign w:val="baseline"/>
                <w:lang w:val="en-US" w:eastAsia="zh-CN"/>
              </w:rPr>
              <w:t>自行说明哪种情况需要）</w:t>
            </w:r>
          </w:p>
        </w:tc>
        <w:tc>
          <w:tcPr>
            <w:tcW w:w="84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pPr>
            <w:r>
              <w:rPr>
                <w:rFonts w:hint="eastAsia" w:ascii="仿宋_GB2312" w:hAnsi="仿宋_GB2312" w:eastAsia="仿宋_GB2312" w:cs="仿宋_GB2312"/>
                <w:color w:val="auto"/>
                <w:sz w:val="24"/>
                <w:szCs w:val="24"/>
                <w:vertAlign w:val="baseline"/>
                <w:lang w:val="en-US" w:eastAsia="zh-CN"/>
              </w:rPr>
              <w:t>（自行定义）</w:t>
            </w:r>
          </w:p>
        </w:tc>
        <w:tc>
          <w:tcPr>
            <w:tcW w:w="111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105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pPr>
          </w:p>
        </w:tc>
        <w:tc>
          <w:tcPr>
            <w:tcW w:w="141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210" w:type="dxa"/>
            <w:gridSpan w:val="6"/>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合计金额（元）/仅为价格评判使用</w:t>
            </w:r>
          </w:p>
        </w:tc>
        <w:tc>
          <w:tcPr>
            <w:tcW w:w="141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vertAlign w:val="baseline"/>
                <w:lang w:val="en-US" w:eastAsia="zh-CN"/>
              </w:rPr>
            </w:pPr>
          </w:p>
        </w:tc>
      </w:tr>
    </w:tbl>
    <w:p>
      <w:pPr>
        <w:pStyle w:val="2"/>
        <w:rPr>
          <w:rFonts w:hint="eastAsia"/>
          <w:lang w:val="en-US" w:eastAsia="zh-CN"/>
        </w:rPr>
      </w:pPr>
    </w:p>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必须额外满足的付款要求和对于报价的追加说明（如有）：</w:t>
      </w:r>
    </w:p>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pStyle w:val="5"/>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pStyle w:val="5"/>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供应商盖章：</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pStyle w:val="5"/>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附件4</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44"/>
          <w:szCs w:val="44"/>
          <w:lang w:val="en-US" w:eastAsia="zh-CN"/>
        </w:rPr>
        <w:t>同类服务/产品应用情况表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序号</w:t>
            </w: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同类服务或产品采购单位</w:t>
            </w: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采购年度</w:t>
            </w: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联系人</w:t>
            </w: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ascii="仿宋_GB2312" w:hAnsi="仿宋_GB2312" w:eastAsia="仿宋_GB2312" w:cs="仿宋_GB2312"/>
          <w:b w:val="0"/>
          <w:bCs w:val="0"/>
          <w:color w:val="auto"/>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2E50C6"/>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0CB7670"/>
    <w:rsid w:val="112A7A9F"/>
    <w:rsid w:val="125F6671"/>
    <w:rsid w:val="139E5CBD"/>
    <w:rsid w:val="139F5A87"/>
    <w:rsid w:val="13E6618F"/>
    <w:rsid w:val="147B1512"/>
    <w:rsid w:val="15CF09FC"/>
    <w:rsid w:val="16393602"/>
    <w:rsid w:val="17450FC9"/>
    <w:rsid w:val="1753483A"/>
    <w:rsid w:val="178F45DF"/>
    <w:rsid w:val="1940115E"/>
    <w:rsid w:val="19F52E2A"/>
    <w:rsid w:val="1ABE3A43"/>
    <w:rsid w:val="1AC3071F"/>
    <w:rsid w:val="1B4D18DA"/>
    <w:rsid w:val="1C9E1978"/>
    <w:rsid w:val="1DA57A56"/>
    <w:rsid w:val="1EAC3F2C"/>
    <w:rsid w:val="1EC747A1"/>
    <w:rsid w:val="1FF70BA6"/>
    <w:rsid w:val="1FF86EBC"/>
    <w:rsid w:val="200F1615"/>
    <w:rsid w:val="209100DD"/>
    <w:rsid w:val="20F60EBA"/>
    <w:rsid w:val="21A437E9"/>
    <w:rsid w:val="21E03505"/>
    <w:rsid w:val="22EA0E31"/>
    <w:rsid w:val="23597745"/>
    <w:rsid w:val="242C03B8"/>
    <w:rsid w:val="24314357"/>
    <w:rsid w:val="24355AC3"/>
    <w:rsid w:val="26F536DC"/>
    <w:rsid w:val="27C129C2"/>
    <w:rsid w:val="28460323"/>
    <w:rsid w:val="29770FFA"/>
    <w:rsid w:val="29B47B51"/>
    <w:rsid w:val="2BC4525D"/>
    <w:rsid w:val="2BF70ED7"/>
    <w:rsid w:val="2C8D3362"/>
    <w:rsid w:val="2CF34CB0"/>
    <w:rsid w:val="2D067FF6"/>
    <w:rsid w:val="2D453ECC"/>
    <w:rsid w:val="2DBE0883"/>
    <w:rsid w:val="2DBF247F"/>
    <w:rsid w:val="2E127BEC"/>
    <w:rsid w:val="2ED737AD"/>
    <w:rsid w:val="30261BDE"/>
    <w:rsid w:val="30BA749B"/>
    <w:rsid w:val="30E83BF7"/>
    <w:rsid w:val="326C6156"/>
    <w:rsid w:val="32EB18B3"/>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E22435"/>
    <w:rsid w:val="3BE91C1D"/>
    <w:rsid w:val="3C274923"/>
    <w:rsid w:val="3C732980"/>
    <w:rsid w:val="3D4572EC"/>
    <w:rsid w:val="3DD5126E"/>
    <w:rsid w:val="3E7F198B"/>
    <w:rsid w:val="40A34F94"/>
    <w:rsid w:val="40F724E5"/>
    <w:rsid w:val="43B1151D"/>
    <w:rsid w:val="43B62B93"/>
    <w:rsid w:val="453C4CFD"/>
    <w:rsid w:val="45C97AD5"/>
    <w:rsid w:val="46561CC4"/>
    <w:rsid w:val="46F964AC"/>
    <w:rsid w:val="47C13124"/>
    <w:rsid w:val="48603A96"/>
    <w:rsid w:val="486C7417"/>
    <w:rsid w:val="4A306100"/>
    <w:rsid w:val="4B312183"/>
    <w:rsid w:val="4BD34E57"/>
    <w:rsid w:val="4C515440"/>
    <w:rsid w:val="4CCD63FC"/>
    <w:rsid w:val="4DD44E9C"/>
    <w:rsid w:val="4E17470B"/>
    <w:rsid w:val="501713DB"/>
    <w:rsid w:val="5026344A"/>
    <w:rsid w:val="5037594C"/>
    <w:rsid w:val="511538A8"/>
    <w:rsid w:val="51206FDE"/>
    <w:rsid w:val="51491C22"/>
    <w:rsid w:val="518542D3"/>
    <w:rsid w:val="518E7743"/>
    <w:rsid w:val="51965E4E"/>
    <w:rsid w:val="51F17CF9"/>
    <w:rsid w:val="51FE2564"/>
    <w:rsid w:val="51FE61A2"/>
    <w:rsid w:val="528D6E2B"/>
    <w:rsid w:val="54017CE1"/>
    <w:rsid w:val="54571857"/>
    <w:rsid w:val="54AF3AFE"/>
    <w:rsid w:val="54B35F20"/>
    <w:rsid w:val="54C84956"/>
    <w:rsid w:val="54DF2FAA"/>
    <w:rsid w:val="55223F2F"/>
    <w:rsid w:val="55AB6F58"/>
    <w:rsid w:val="560E4F32"/>
    <w:rsid w:val="5661187C"/>
    <w:rsid w:val="5712074C"/>
    <w:rsid w:val="5AFE414F"/>
    <w:rsid w:val="5C1E32DA"/>
    <w:rsid w:val="5C6309D2"/>
    <w:rsid w:val="5C6410A0"/>
    <w:rsid w:val="5CEE3FCD"/>
    <w:rsid w:val="5D0A749E"/>
    <w:rsid w:val="5D9B7C91"/>
    <w:rsid w:val="5DA24171"/>
    <w:rsid w:val="5DD830E4"/>
    <w:rsid w:val="5EC42E35"/>
    <w:rsid w:val="61594C52"/>
    <w:rsid w:val="618A062A"/>
    <w:rsid w:val="624772C6"/>
    <w:rsid w:val="626F6842"/>
    <w:rsid w:val="639C74DA"/>
    <w:rsid w:val="63CB7229"/>
    <w:rsid w:val="64E613E5"/>
    <w:rsid w:val="64F07963"/>
    <w:rsid w:val="65AD00EC"/>
    <w:rsid w:val="667C5FCE"/>
    <w:rsid w:val="66E05971"/>
    <w:rsid w:val="67761523"/>
    <w:rsid w:val="67782713"/>
    <w:rsid w:val="68504699"/>
    <w:rsid w:val="685C0C8B"/>
    <w:rsid w:val="689C5443"/>
    <w:rsid w:val="69252342"/>
    <w:rsid w:val="69CB420D"/>
    <w:rsid w:val="69D86BC2"/>
    <w:rsid w:val="6AEE4BF2"/>
    <w:rsid w:val="6B870862"/>
    <w:rsid w:val="6BAB4EF0"/>
    <w:rsid w:val="6D373CB7"/>
    <w:rsid w:val="6DF6410C"/>
    <w:rsid w:val="6E955349"/>
    <w:rsid w:val="71644D17"/>
    <w:rsid w:val="71E73A79"/>
    <w:rsid w:val="72DB2E88"/>
    <w:rsid w:val="735D5523"/>
    <w:rsid w:val="73AA5FF5"/>
    <w:rsid w:val="76D4524B"/>
    <w:rsid w:val="76F774A3"/>
    <w:rsid w:val="77305324"/>
    <w:rsid w:val="77D17783"/>
    <w:rsid w:val="78080ACE"/>
    <w:rsid w:val="786067D4"/>
    <w:rsid w:val="78D93B02"/>
    <w:rsid w:val="790D0676"/>
    <w:rsid w:val="79370F44"/>
    <w:rsid w:val="794C4C3B"/>
    <w:rsid w:val="7A9F7EA6"/>
    <w:rsid w:val="7B153515"/>
    <w:rsid w:val="7BBD6CAF"/>
    <w:rsid w:val="7BF62302"/>
    <w:rsid w:val="7CDA444A"/>
    <w:rsid w:val="7D2434E6"/>
    <w:rsid w:val="7D503D91"/>
    <w:rsid w:val="7E33156A"/>
    <w:rsid w:val="7ECA3EAC"/>
    <w:rsid w:val="7EF72B1D"/>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2024-05-19T23:48:01Z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