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LZ2024-18ZW的医用电梯维保服务</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2024年4月26日14:00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1年期医院5部厢式、4部扶式医用电梯维保服务（含技术服务+除照明灯具外的300元内配件），和300元以上配件的供应，具体内容见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《报价单》。《报价单》中的报价单2是根据以往经验罗列的有采购可能的配件。</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项目付款方式暂定为每季度支付一次。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2024年4月24日17:00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bookmarkStart w:id="0" w:name="_GoBack"/>
      <w:bookmarkEnd w:id="0"/>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2024年4月16日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89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10"/>
        <w:gridCol w:w="743"/>
        <w:gridCol w:w="245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41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工作层数</w:t>
            </w:r>
          </w:p>
        </w:tc>
        <w:tc>
          <w:tcPr>
            <w:tcW w:w="743"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2452"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月服务费价格（元）</w:t>
            </w:r>
          </w:p>
        </w:tc>
        <w:tc>
          <w:tcPr>
            <w:tcW w:w="246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月服务费金额（元）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蒂森厢式电梯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迅达扶式电梯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35" w:type="dxa"/>
            <w:gridSpan w:val="4"/>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月度合计金额（元）</w:t>
            </w:r>
          </w:p>
        </w:tc>
        <w:tc>
          <w:tcPr>
            <w:tcW w:w="2460" w:type="dxa"/>
            <w:vAlign w:val="center"/>
          </w:tcPr>
          <w:p>
            <w:pPr>
              <w:pStyle w:val="7"/>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1"/>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313"/>
        <w:gridCol w:w="930"/>
        <w:gridCol w:w="1442"/>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31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9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迅达专用应急电源装置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迅达电梯门机磁鼓</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迅达医梯钢丝绳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迅达外呼双层显示板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迅达轿内双层显示板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迅达、日立电梯平层感应器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迅达、日立电梯限速器校验</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迅达KMC接触器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迅达KMY接触器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迅达抱闸强制继电器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迅达安全继电器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裁截钢丝绳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迅达应急电源</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迅达扶梯摩擦轮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迅达扶梯扶手带摩擦轮链条</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迅达扶梯托带轮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迅达扶梯多楔带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迅达扶梯抱闸钢带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根</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迅达扶梯扶手带链轮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迅达计数器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迅达轿厢通讯板SM02</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迅达电梯导向轮更换轴承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日立轿厢通讯扩展板SM03</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日立信号板NIOB</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日立门机及编码器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日立通讯A板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日立通讯B板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日立通讯C板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日立门机通讯控制板DMC</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日立门机驱动板DMD</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日立制动电阻</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日立电梯主板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日立曳引机油</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日立返绳轮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迅达、日立补偿链</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迅达、日立语音报站</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日立涨紧轮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迅达、日立医梯专用光幕</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日立限速器钢丝绳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蒂森封星接触器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蒂森Ｋ07接触器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蒂森运行继电器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蒂森电源运行接触器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日立风扇</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迅达载荷控制装置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迅达扶梯特制扶手带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100" w:type="dxa"/>
            <w:gridSpan w:val="3"/>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为做初步价格比对，以上价格相加（元）</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F1615"/>
    <w:rsid w:val="209100DD"/>
    <w:rsid w:val="20F60EBA"/>
    <w:rsid w:val="21A437E9"/>
    <w:rsid w:val="21E03505"/>
    <w:rsid w:val="22EA0E31"/>
    <w:rsid w:val="23597745"/>
    <w:rsid w:val="242C03B8"/>
    <w:rsid w:val="24314357"/>
    <w:rsid w:val="24355AC3"/>
    <w:rsid w:val="27C129C2"/>
    <w:rsid w:val="27E76F01"/>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3B11BF"/>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153883"/>
    <w:rsid w:val="7B1A43DD"/>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2024-04-12T05:02:37Z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