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bookmarkStart w:id="0" w:name="_GoBack"/>
      <w:bookmarkEnd w:id="0"/>
      <w:r>
        <w:rPr>
          <w:sz w:val="44"/>
        </w:rPr>
        <mc:AlternateContent>
          <mc:Choice Requires="wps">
            <w:drawing>
              <wp:anchor distT="0" distB="0" distL="114300" distR="114300" simplePos="0" relativeHeight="251658240"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15pt;margin-top:-62pt;height:5pt;width:5pt;visibility:hidden;z-index:25165824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Bv&#10;jFe32wAAAA8BAAAPAAAAAAAAAAEAIAAAACIAAABkcnMvZG93bnJldi54bWxQSwECFAAUAAAACACH&#10;TuJADp30kZQEAAByBwAADgAAAAAAAAABACAAAAAqAQAAZHJzL2Uyb0RvYy54bWxQSwUGAAAAAAYA&#10;BgBZAQAAMAgAAAAA&#10;">
                <v:fill on="t" focussize="0,0"/>
                <v:stroke weight="1pt" color="#41719C [3204]" miterlimit="8" joinstyle="miter"/>
                <v:imagedata o:title=""/>
                <o:lock v:ext="edit" aspectratio="f"/>
              </v:rect>
            </w:pict>
          </mc:Fallback>
        </mc:AlternateConten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LZ2024-02YYHC的心内神内使用的部分医用耗材项目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2024年4月11日14:30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心内神内使用的部分医用耗材，具体见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国家集采医用耗材不在本项目范围内，本项目涉及医用耗材未来有实施国家集采的，按照国家集采政策执行。相关医用耗材的一二三级医保分类编码另见《心内神内医用耗材医保分类编码》。</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项目付款方式根据医院与配送商签订的《医用耗材供应配送服务合同》确定。</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报价可以分三种情况：（一)全类别报价，即对心内+通用+神内进行报价；（二）心内类别报价，即对心内+通用进行报价；（三）神内类别报价，即对神内+通用进行报价。供应商报价产品必须是山东省医用耗材集中采购平台中的产品。</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报价单中的“是否优势产品”是指供应商对相关品牌产品有良好的合作关系和良好的采购销售渠道，如是，在该栏填写“优势”。</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医院与中选供应商确定供应意向，由中选供应商在医院两家配送商山东威高医药有限公司和国药控股威海有限公司中自行选择配送渠道。本项目供应价格包含配送费用在内。医院的配送商可以直接参与本项目。</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val="en-US" w:eastAsia="zh-CN"/>
        </w:rPr>
        <w:t>和《第二类医疗器械经营备案凭证》</w:t>
      </w:r>
      <w:r>
        <w:rPr>
          <w:rFonts w:hint="eastAsia" w:ascii="仿宋_GB2312" w:hAnsi="仿宋_GB2312" w:eastAsia="仿宋_GB2312" w:cs="仿宋_GB2312"/>
          <w:sz w:val="32"/>
          <w:szCs w:val="32"/>
          <w:lang w:val="en-US" w:eastAsia="zh-CN"/>
        </w:rPr>
        <w:t>复印件各1份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left="1278" w:leftChars="304" w:hanging="640" w:hanging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的《产品优势与质量保障措施》3份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五）销售授权或者销售资格证明</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相关医用耗材品牌至威海区域（或我医院）的逐级销售授权，或者使用省采购平台中已有在威海区域（或我医院）销售的截图进行说明，本项仅为参考项</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本项目暂不需要提供医用耗材生产商资质和产品资质，论证结束后中选供应商按照医院要求提供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lang w:val="en-US" w:eastAsia="zh-CN"/>
        </w:rPr>
      </w:pPr>
      <w:r>
        <w:rPr>
          <w:rFonts w:hint="eastAsia" w:ascii="仿宋_GB2312" w:hAnsi="仿宋_GB2312" w:eastAsia="仿宋_GB2312" w:cs="仿宋_GB2312"/>
          <w:sz w:val="32"/>
          <w:szCs w:val="32"/>
          <w:lang w:val="en-US" w:eastAsia="zh-CN"/>
        </w:rPr>
        <w:t xml:space="preserve">          3.报价单</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2024年3月29日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3845" w:type="dxa"/>
        <w:jc w:val="center"/>
        <w:tblInd w:w="71" w:type="dxa"/>
        <w:shd w:val="clear" w:color="auto" w:fill="auto"/>
        <w:tblLayout w:type="fixed"/>
        <w:tblCellMar>
          <w:top w:w="0" w:type="dxa"/>
          <w:left w:w="0" w:type="dxa"/>
          <w:bottom w:w="0" w:type="dxa"/>
          <w:right w:w="0" w:type="dxa"/>
        </w:tblCellMar>
      </w:tblPr>
      <w:tblGrid>
        <w:gridCol w:w="525"/>
        <w:gridCol w:w="3270"/>
        <w:gridCol w:w="1005"/>
        <w:gridCol w:w="1065"/>
        <w:gridCol w:w="1005"/>
        <w:gridCol w:w="2895"/>
        <w:gridCol w:w="1035"/>
        <w:gridCol w:w="1035"/>
        <w:gridCol w:w="1035"/>
        <w:gridCol w:w="975"/>
      </w:tblGrid>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使用方向</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是否新增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2023用量</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品牌或生产商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省网价</w:t>
            </w:r>
            <w:r>
              <w:rPr>
                <w:rFonts w:hint="eastAsia" w:ascii="仿宋_GB2312" w:hAnsi="等线" w:eastAsia="仿宋_GB2312" w:cs="仿宋_GB2312"/>
                <w:b/>
                <w:i w:val="0"/>
                <w:color w:val="000000"/>
                <w:kern w:val="0"/>
                <w:sz w:val="20"/>
                <w:szCs w:val="20"/>
                <w:u w:val="none"/>
                <w:lang w:val="en-US" w:eastAsia="zh-CN" w:bidi="ar"/>
              </w:rPr>
              <w:br w:type="textWrapping"/>
            </w:r>
            <w:r>
              <w:rPr>
                <w:rFonts w:hint="eastAsia" w:ascii="仿宋_GB2312" w:hAnsi="等线" w:eastAsia="仿宋_GB2312" w:cs="仿宋_GB2312"/>
                <w:b/>
                <w:i w:val="0"/>
                <w:color w:val="000000"/>
                <w:kern w:val="0"/>
                <w:sz w:val="20"/>
                <w:szCs w:val="20"/>
                <w:u w:val="none"/>
                <w:lang w:val="en-US" w:eastAsia="zh-CN"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供应价</w:t>
            </w:r>
            <w:r>
              <w:rPr>
                <w:rFonts w:hint="eastAsia" w:ascii="仿宋_GB2312" w:hAnsi="等线" w:eastAsia="仿宋_GB2312" w:cs="仿宋_GB2312"/>
                <w:b/>
                <w:i w:val="0"/>
                <w:color w:val="000000"/>
                <w:kern w:val="0"/>
                <w:sz w:val="20"/>
                <w:szCs w:val="20"/>
                <w:u w:val="none"/>
                <w:lang w:val="en-US" w:eastAsia="zh-CN" w:bidi="ar"/>
              </w:rPr>
              <w:br w:type="textWrapping"/>
            </w:r>
            <w:r>
              <w:rPr>
                <w:rFonts w:hint="eastAsia" w:ascii="仿宋_GB2312" w:hAnsi="等线" w:eastAsia="仿宋_GB2312" w:cs="仿宋_GB2312"/>
                <w:b/>
                <w:i w:val="0"/>
                <w:color w:val="000000"/>
                <w:kern w:val="0"/>
                <w:sz w:val="20"/>
                <w:szCs w:val="20"/>
                <w:u w:val="none"/>
                <w:lang w:val="en-US" w:eastAsia="zh-CN"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供应金额</w:t>
            </w:r>
            <w:r>
              <w:rPr>
                <w:rFonts w:hint="eastAsia" w:ascii="仿宋_GB2312" w:hAnsi="等线" w:eastAsia="仿宋_GB2312" w:cs="仿宋_GB2312"/>
                <w:b/>
                <w:i w:val="0"/>
                <w:color w:val="000000"/>
                <w:kern w:val="0"/>
                <w:sz w:val="20"/>
                <w:szCs w:val="20"/>
                <w:u w:val="none"/>
                <w:lang w:val="en-US" w:eastAsia="zh-CN" w:bidi="ar"/>
              </w:rPr>
              <w:br w:type="textWrapping"/>
            </w:r>
            <w:r>
              <w:rPr>
                <w:rFonts w:hint="eastAsia" w:ascii="仿宋_GB2312" w:hAnsi="等线" w:eastAsia="仿宋_GB2312" w:cs="仿宋_GB2312"/>
                <w:b/>
                <w:i w:val="0"/>
                <w:color w:val="000000"/>
                <w:kern w:val="0"/>
                <w:sz w:val="20"/>
                <w:szCs w:val="20"/>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bidi="ar"/>
              </w:rPr>
              <w:t>是否</w:t>
            </w:r>
            <w:r>
              <w:rPr>
                <w:rFonts w:hint="eastAsia" w:ascii="仿宋_GB2312" w:hAnsi="等线" w:eastAsia="仿宋_GB2312" w:cs="仿宋_GB2312"/>
                <w:b/>
                <w:i w:val="0"/>
                <w:color w:val="000000"/>
                <w:kern w:val="0"/>
                <w:sz w:val="20"/>
                <w:szCs w:val="20"/>
                <w:u w:val="none"/>
                <w:lang w:val="en-US" w:eastAsia="zh-CN" w:bidi="ar"/>
              </w:rPr>
              <w:br w:type="textWrapping"/>
            </w:r>
            <w:r>
              <w:rPr>
                <w:rFonts w:hint="eastAsia" w:ascii="仿宋_GB2312" w:hAnsi="等线" w:eastAsia="仿宋_GB2312" w:cs="仿宋_GB2312"/>
                <w:b/>
                <w:i w:val="0"/>
                <w:color w:val="000000"/>
                <w:kern w:val="0"/>
                <w:sz w:val="20"/>
                <w:szCs w:val="20"/>
                <w:u w:val="none"/>
                <w:lang w:val="en-US" w:eastAsia="zh-CN" w:bidi="ar"/>
              </w:rPr>
              <w:t>优势产品</w:t>
            </w: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双极临时起搏电极导管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心腔内超声导管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固有导丝冠脉刻痕球囊扩张导管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耐高压乳突球囊扩张导管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血栓抽吸导管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磨头导管和推进器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导引延伸导管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延长导管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导引导丝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房间隔缺损封堵器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卵圆孔未闭封堵器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左心耳封堵器系统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封堵器介入输送装置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封堵器输送系统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植入式心脏起搏器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植入式心脏起搏电极导线</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胸主动脉裸支架系统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大动脉腹膜支架系统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亲水涂层导引鞘</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撕开鞘</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穿通导管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微导管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心内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带有亲水涂层的可控导丝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血管缝合器系统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预装血管支架系统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造影导管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1100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造影导丝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500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导管鞘器械（鞘管）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封堵止血系统(缝合器）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颅内药物洗脱支架系统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球囊导引导管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颅内球囊扩张导管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导引导管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输送导管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取栓支架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外周自膨式支架系统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PTA球囊导管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外周血管内高压球囊扩张导管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血管内异物取出装置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颅内动脉支架系统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颅内血管支架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颅内支架系统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血管重建装置和传送系统(支架）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远端通路导引导管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支撑导管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灌注导管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微导管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微导管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微导管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微导管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43</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导丝</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弹簧圈解脱器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颈动脉支架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外周球囊扩张导管(商品名:RX VIATRAC14 PLU</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导引导管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一次性使用导管鞘组</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60</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抗栓塞远端保护装置(Emboshield NAV支架）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一次性使用栓塞保护伞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42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62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导引导管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神内</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非新增</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49</w:t>
            </w:r>
          </w:p>
        </w:tc>
        <w:tc>
          <w:tcPr>
            <w:tcW w:w="2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0D48"/>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A7209C"/>
    <w:rsid w:val="0FE867C1"/>
    <w:rsid w:val="0FFB437A"/>
    <w:rsid w:val="112A7A9F"/>
    <w:rsid w:val="125F6671"/>
    <w:rsid w:val="139F5A87"/>
    <w:rsid w:val="15CF09FC"/>
    <w:rsid w:val="170C6C73"/>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ABF5A00"/>
    <w:rsid w:val="2BC4525D"/>
    <w:rsid w:val="2BF70ED7"/>
    <w:rsid w:val="2C8D3362"/>
    <w:rsid w:val="2CF34CB0"/>
    <w:rsid w:val="2D067FF6"/>
    <w:rsid w:val="2D453ECC"/>
    <w:rsid w:val="2D674D07"/>
    <w:rsid w:val="2DBE0883"/>
    <w:rsid w:val="2DBF247F"/>
    <w:rsid w:val="2E127BEC"/>
    <w:rsid w:val="2ED737AD"/>
    <w:rsid w:val="30261BDE"/>
    <w:rsid w:val="30BA749B"/>
    <w:rsid w:val="30E83BF7"/>
    <w:rsid w:val="326C6156"/>
    <w:rsid w:val="32EB18B3"/>
    <w:rsid w:val="334D13B8"/>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27B6CE8"/>
    <w:rsid w:val="42BC2224"/>
    <w:rsid w:val="433849B0"/>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525261"/>
    <w:rsid w:val="518542D3"/>
    <w:rsid w:val="518E7743"/>
    <w:rsid w:val="51965E4E"/>
    <w:rsid w:val="51F17CF9"/>
    <w:rsid w:val="51FE2564"/>
    <w:rsid w:val="528D6E2B"/>
    <w:rsid w:val="54017CE1"/>
    <w:rsid w:val="54571857"/>
    <w:rsid w:val="54AF3AFE"/>
    <w:rsid w:val="54B35F20"/>
    <w:rsid w:val="55223F2F"/>
    <w:rsid w:val="55AB6F58"/>
    <w:rsid w:val="5661187C"/>
    <w:rsid w:val="5712074C"/>
    <w:rsid w:val="593A0C71"/>
    <w:rsid w:val="59574FF8"/>
    <w:rsid w:val="59917786"/>
    <w:rsid w:val="5AFE414F"/>
    <w:rsid w:val="5C1E32DA"/>
    <w:rsid w:val="5C591FFB"/>
    <w:rsid w:val="5C6309D2"/>
    <w:rsid w:val="5CEE3FCD"/>
    <w:rsid w:val="5D0A749E"/>
    <w:rsid w:val="5D9B7C91"/>
    <w:rsid w:val="5DA24171"/>
    <w:rsid w:val="5DD830E4"/>
    <w:rsid w:val="5EC42E35"/>
    <w:rsid w:val="60EA33AE"/>
    <w:rsid w:val="60EA7D9B"/>
    <w:rsid w:val="61594C52"/>
    <w:rsid w:val="618A062A"/>
    <w:rsid w:val="624772C6"/>
    <w:rsid w:val="626F6842"/>
    <w:rsid w:val="638A2EF7"/>
    <w:rsid w:val="639C74DA"/>
    <w:rsid w:val="63CB7229"/>
    <w:rsid w:val="64E613E5"/>
    <w:rsid w:val="64F07963"/>
    <w:rsid w:val="667C5FCE"/>
    <w:rsid w:val="66E05971"/>
    <w:rsid w:val="67761523"/>
    <w:rsid w:val="67782713"/>
    <w:rsid w:val="67822C6D"/>
    <w:rsid w:val="684B656F"/>
    <w:rsid w:val="68504699"/>
    <w:rsid w:val="685C0C8B"/>
    <w:rsid w:val="69252342"/>
    <w:rsid w:val="69CB420D"/>
    <w:rsid w:val="69D86BC2"/>
    <w:rsid w:val="6B870862"/>
    <w:rsid w:val="6BAB4EF0"/>
    <w:rsid w:val="6BEE0F05"/>
    <w:rsid w:val="6D373CB7"/>
    <w:rsid w:val="6D6D72F7"/>
    <w:rsid w:val="6DF6410C"/>
    <w:rsid w:val="6E955349"/>
    <w:rsid w:val="71E73A79"/>
    <w:rsid w:val="72DB2E88"/>
    <w:rsid w:val="735D5523"/>
    <w:rsid w:val="76CC1861"/>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2024-03-29T03:24:32Z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