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LZ2023-48ZW的门诊大厅护栏加高项目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总长度约99米的医院门诊大厅护栏加高项目，增加部分具体要求为：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必采购部分（报价单1）  栏杆材质为304不锈钢，横管直径63mm，实厚1.1mm；与原栏杆之间中间采用不锈钢板折U型槽夹5+0.76+5mm夹胶钢化玻璃。立柱直径51mm，厚度1.0mm，用不锈钢弯头焊接。</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根据以上必采购部分安装后整体护栏的稳定情况，再行决定是否采购的部分（报价单2）  28个弯头立柱，材质304不锈钢，直径51mm，厚度1.0mm，用不锈钢弯头焊接。</w:t>
      </w:r>
      <w:bookmarkStart w:id="0" w:name="_GoBack"/>
      <w:bookmarkEnd w:id="0"/>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医院门诊大厅原护栏与加高后护栏（包括弯头立柱）示意图见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项目付款方式暂定为验收合格后60日内全额支付。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2023年12月26日17:00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5.原护栏与加高后护栏示意图</w:t>
      </w: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6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2"/>
        <w:gridCol w:w="42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83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42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主要材料品牌</w:t>
            </w:r>
          </w:p>
        </w:tc>
        <w:tc>
          <w:tcPr>
            <w:tcW w:w="16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832"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门诊大厅护栏加高项目</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none"/>
                <w:lang w:val="en-US" w:eastAsia="zh-CN"/>
              </w:rPr>
              <w:t>合计报价（不包括立柱）</w:t>
            </w:r>
          </w:p>
        </w:tc>
        <w:tc>
          <w:tcPr>
            <w:tcW w:w="420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（报不锈钢材、夹胶钢化玻璃的品牌）</w:t>
            </w:r>
          </w:p>
        </w:tc>
        <w:tc>
          <w:tcPr>
            <w:tcW w:w="162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center"/>
        <w:rPr>
          <w:rFonts w:hint="eastAsia" w:ascii="仿宋_GB2312" w:hAnsi="仿宋_GB2312" w:eastAsia="仿宋_GB2312" w:cs="仿宋_GB2312"/>
          <w:b/>
          <w:bCs/>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1"/>
        <w:tblpPr w:leftFromText="180" w:rightFromText="180" w:vertAnchor="text" w:horzAnchor="page" w:tblpX="1702" w:tblpY="408"/>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550"/>
        <w:gridCol w:w="1245"/>
        <w:gridCol w:w="132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3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主要材料品牌</w:t>
            </w:r>
          </w:p>
        </w:tc>
        <w:tc>
          <w:tcPr>
            <w:tcW w:w="124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3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157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93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立柱</w:t>
            </w:r>
          </w:p>
        </w:tc>
        <w:tc>
          <w:tcPr>
            <w:tcW w:w="255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（报不锈钢材品牌）</w:t>
            </w:r>
          </w:p>
        </w:tc>
        <w:tc>
          <w:tcPr>
            <w:tcW w:w="124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28</w:t>
            </w:r>
          </w:p>
        </w:tc>
        <w:tc>
          <w:tcPr>
            <w:tcW w:w="132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57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26260B"/>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5F6671"/>
    <w:rsid w:val="139F5A87"/>
    <w:rsid w:val="15CF09FC"/>
    <w:rsid w:val="17450FC9"/>
    <w:rsid w:val="1753483A"/>
    <w:rsid w:val="178F45DF"/>
    <w:rsid w:val="17D76453"/>
    <w:rsid w:val="18F273D0"/>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570D9B"/>
    <w:rsid w:val="58980637"/>
    <w:rsid w:val="5AFE414F"/>
    <w:rsid w:val="5C1E32DA"/>
    <w:rsid w:val="5C6309D2"/>
    <w:rsid w:val="5CEE3FCD"/>
    <w:rsid w:val="5D0A749E"/>
    <w:rsid w:val="5D9B7C91"/>
    <w:rsid w:val="5DA24171"/>
    <w:rsid w:val="5DD830E4"/>
    <w:rsid w:val="5E4862A5"/>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6F6F1122"/>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2023-12-18T08:18:13Z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