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LZ2023-44MZ的子宫内膜癌筛查外检服务项目</w:t>
      </w:r>
      <w:r>
        <w:rPr>
          <w:rFonts w:hint="eastAsia" w:ascii="仿宋_GB2312" w:hAnsi="仿宋_GB2312" w:eastAsia="仿宋_GB2312" w:cs="仿宋_GB2312"/>
          <w:color w:val="auto"/>
          <w:sz w:val="32"/>
          <w:szCs w:val="32"/>
          <w:lang w:val="en-US" w:eastAsia="zh-CN"/>
        </w:rPr>
        <w:t>实施采购前综合论证（第二次），欢迎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2023年12月22日15:00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1年期子宫内膜癌筛查外检服务。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项目付款方式暂定为按照自然月汇总服务采购量，在该月结束后的60日内支付费用。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2023年12月20日17:00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本项目为首次采购，医院未做采购量模拟，也不对未来实际采购量进行承诺。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2023年12月13日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子宫内膜癌筛查外检服务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威海市的收费标准说明：</w:t>
      </w:r>
    </w:p>
    <w:p>
      <w:pPr>
        <w:jc w:val="both"/>
        <w:rPr>
          <w:rFonts w:hint="eastAsia"/>
          <w:lang w:val="en-US" w:eastAsia="zh-CN"/>
        </w:rPr>
      </w:pPr>
      <w:r>
        <w:rPr>
          <w:rFonts w:hint="eastAsia" w:ascii="仿宋_GB2312" w:hAnsi="仿宋_GB2312" w:eastAsia="仿宋_GB2312" w:cs="仿宋_GB2312"/>
          <w:sz w:val="32"/>
          <w:szCs w:val="32"/>
          <w:lang w:val="en-US" w:eastAsia="zh-CN"/>
        </w:rPr>
        <w:t>（包括使用的项目编码、项目名称、项目内涵、计价单位、价格等）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1A136B"/>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E37A31"/>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995517"/>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A23629"/>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2023-12-08T01:56:18Z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