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LZ2023-46ZW的会议室电子屏项目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2023年12月21日15:00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医院第二会议室电子屏1面。具体要求为P1.538室内全彩LED屏；净屏尺寸2880*1600；整屏可以左右平均分隔成两个独立单元同时显示不同视频；整屏显示比例16:9，独立单元显示比例4:3。</w:t>
      </w:r>
      <w:bookmarkStart w:id="0" w:name="_GoBack"/>
      <w:bookmarkEnd w:id="0"/>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2023年12月11日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1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4650"/>
        <w:gridCol w:w="109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46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主要部件品牌罗列</w:t>
            </w:r>
          </w:p>
        </w:tc>
        <w:tc>
          <w:tcPr>
            <w:tcW w:w="109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1318"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2880*1600</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电子屏</w:t>
            </w:r>
          </w:p>
        </w:tc>
        <w:tc>
          <w:tcPr>
            <w:tcW w:w="465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09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318"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DA57A56"/>
    <w:rsid w:val="1EAC3F2C"/>
    <w:rsid w:val="1EC747A1"/>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2023-12-01T07:50:15Z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