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LZ2023-41XX的分诊叫号系统项目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2023年12月8日15:00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医院分诊叫号系统1套，为包括系统的软件、硬件、布线及其他必要物资与服务的交钥匙项目，具体要求见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《分诊叫号系统项目要求》。</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项目付款方式暂定为验收合格之日起60内支付总价款的90%，其余10%作为质保金在验收合格一年后付清。</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2023年12月6日17:00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论证采取线上形式，签到和现场沟通使用电话或者会议软件联络方式。项目被授权人和报名联系人在论证当天</w:t>
      </w:r>
      <w:r>
        <w:rPr>
          <w:rFonts w:hint="eastAsia" w:ascii="仿宋_GB2312" w:hAnsi="仿宋_GB2312" w:eastAsia="仿宋_GB2312" w:cs="仿宋_GB2312"/>
          <w:color w:val="auto"/>
          <w:sz w:val="32"/>
          <w:szCs w:val="32"/>
          <w:u w:val="single"/>
          <w:lang w:val="en-US" w:eastAsia="zh-CN"/>
        </w:rPr>
        <w:t>14:00至17:00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拟参加的供应商需要将“六、论证现场需要的资料”密封并于</w:t>
      </w:r>
      <w:r>
        <w:rPr>
          <w:rFonts w:hint="eastAsia" w:ascii="仿宋_GB2312" w:hAnsi="仿宋_GB2312" w:eastAsia="仿宋_GB2312" w:cs="仿宋_GB2312"/>
          <w:sz w:val="32"/>
          <w:szCs w:val="32"/>
          <w:u w:val="single"/>
          <w:lang w:val="en-US" w:eastAsia="zh-CN"/>
        </w:rPr>
        <w:t>2023年12月8日12：00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186 6037 6862</w:t>
      </w:r>
      <w:bookmarkStart w:id="1" w:name="_GoBack"/>
      <w:bookmarkEnd w:id="1"/>
      <w:r>
        <w:rPr>
          <w:rFonts w:hint="eastAsia" w:ascii="仿宋_GB2312" w:hAnsi="仿宋_GB2312" w:eastAsia="仿宋_GB2312" w:cs="仿宋_GB2312"/>
          <w:sz w:val="32"/>
          <w:szCs w:val="32"/>
          <w:lang w:val="en-US" w:eastAsia="zh-CN"/>
        </w:rPr>
        <w:t>。</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的《服务方案与质量保障措施》3份（其中需要写明软件系统的模块、功能等详细信息）</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5.分诊叫号系统项目要求</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2023年11月28日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一、软件部分</w:t>
      </w:r>
    </w:p>
    <w:tbl>
      <w:tblPr>
        <w:tblStyle w:val="12"/>
        <w:tblW w:w="8591"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5"/>
        <w:gridCol w:w="1875"/>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187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免费质保期</w:t>
            </w:r>
          </w:p>
        </w:tc>
        <w:tc>
          <w:tcPr>
            <w:tcW w:w="1571" w:type="dxa"/>
            <w:vAlign w:val="center"/>
          </w:tcPr>
          <w:p>
            <w:pPr>
              <w:jc w:val="center"/>
              <w:rPr>
                <w:rFonts w:hint="eastAsia"/>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vertAlign w:val="baseline"/>
                <w:lang w:val="en-US" w:eastAsia="zh-CN"/>
              </w:rPr>
            </w:pPr>
            <w:r>
              <w:rPr>
                <w:rFonts w:hint="eastAsia" w:ascii="仿宋_GB2312" w:hAnsi="仿宋_GB2312" w:eastAsia="仿宋_GB2312" w:cs="仿宋_GB2312"/>
                <w:color w:val="auto"/>
                <w:sz w:val="21"/>
                <w:szCs w:val="21"/>
                <w:vertAlign w:val="baseline"/>
                <w:lang w:val="en-US" w:eastAsia="zh-CN"/>
              </w:rPr>
              <w:t>分诊叫号系统软件（包含软件本身及保证其正常使用需要的安装、调试、接口等费用，不包含其他软件开放接口费用）</w:t>
            </w: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二、硬件部分</w:t>
      </w:r>
    </w:p>
    <w:tbl>
      <w:tblPr>
        <w:tblStyle w:val="12"/>
        <w:tblW w:w="8683" w:type="dxa"/>
        <w:jc w:val="center"/>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1380"/>
        <w:gridCol w:w="1455"/>
        <w:gridCol w:w="960"/>
        <w:gridCol w:w="585"/>
        <w:gridCol w:w="1013"/>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3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145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品牌</w:t>
            </w:r>
          </w:p>
        </w:tc>
        <w:tc>
          <w:tcPr>
            <w:tcW w:w="9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5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量</w:t>
            </w:r>
          </w:p>
        </w:tc>
        <w:tc>
          <w:tcPr>
            <w:tcW w:w="101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（元）</w:t>
            </w:r>
          </w:p>
        </w:tc>
        <w:tc>
          <w:tcPr>
            <w:tcW w:w="1108" w:type="dxa"/>
            <w:vAlign w:val="center"/>
          </w:tcPr>
          <w:p>
            <w:pPr>
              <w:jc w:val="center"/>
              <w:rPr>
                <w:rFonts w:hint="eastAsia"/>
                <w:b/>
                <w:bCs/>
                <w:lang w:val="en-US" w:eastAsia="zh-CN"/>
              </w:rPr>
            </w:pPr>
            <w:r>
              <w:rPr>
                <w:rFonts w:hint="eastAsia"/>
                <w:b/>
                <w:bCs/>
                <w:lang w:val="en-US" w:eastAsia="zh-CN"/>
              </w:rPr>
              <w:t>金额</w:t>
            </w:r>
          </w:p>
          <w:p>
            <w:pPr>
              <w:jc w:val="center"/>
              <w:rPr>
                <w:rFonts w:hint="eastAsia"/>
                <w:b/>
                <w:bCs/>
                <w:lang w:val="en-US" w:eastAsia="zh-CN"/>
              </w:rPr>
            </w:pPr>
            <w:r>
              <w:rPr>
                <w:rFonts w:hint="eastAsia"/>
                <w:b/>
                <w:bCs/>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每项均包含硬件及其保证期正常使用的安装、调试、接入等费用</w:t>
            </w:r>
          </w:p>
        </w:tc>
        <w:tc>
          <w:tcPr>
            <w:tcW w:w="1380" w:type="dxa"/>
            <w:vAlign w:val="center"/>
          </w:tcPr>
          <w:p>
            <w:pPr>
              <w:jc w:val="center"/>
              <w:rPr>
                <w:rFonts w:hint="eastAsia" w:ascii="仿宋_GB2312" w:hAnsi="仿宋_GB2312" w:eastAsia="仿宋_GB2312" w:cs="仿宋_GB2312"/>
                <w:sz w:val="24"/>
                <w:szCs w:val="24"/>
                <w:vertAlign w:val="baseline"/>
                <w:lang w:val="en-US" w:eastAsia="zh-CN"/>
              </w:rPr>
            </w:pP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vAlign w:val="center"/>
          </w:tcPr>
          <w:p>
            <w:pPr>
              <w:jc w:val="center"/>
              <w:rPr>
                <w:rFonts w:hint="eastAsia" w:ascii="仿宋_GB2312" w:hAnsi="仿宋_GB2312" w:eastAsia="仿宋_GB2312" w:cs="仿宋_GB2312"/>
                <w:sz w:val="24"/>
                <w:szCs w:val="24"/>
                <w:vertAlign w:val="baseline"/>
                <w:lang w:val="en-US" w:eastAsia="zh-CN"/>
              </w:rPr>
            </w:pPr>
          </w:p>
        </w:tc>
        <w:tc>
          <w:tcPr>
            <w:tcW w:w="585" w:type="dxa"/>
            <w:vAlign w:val="center"/>
          </w:tcPr>
          <w:p>
            <w:pPr>
              <w:jc w:val="center"/>
              <w:rPr>
                <w:rFonts w:hint="eastAsia" w:ascii="仿宋_GB2312" w:hAnsi="仿宋_GB2312" w:eastAsia="仿宋_GB2312" w:cs="仿宋_GB2312"/>
                <w:sz w:val="24"/>
                <w:szCs w:val="24"/>
                <w:vertAlign w:val="baseline"/>
                <w:lang w:val="en-US" w:eastAsia="zh-CN"/>
              </w:rPr>
            </w:pPr>
          </w:p>
        </w:tc>
        <w:tc>
          <w:tcPr>
            <w:tcW w:w="1013" w:type="dxa"/>
            <w:vAlign w:val="center"/>
          </w:tcPr>
          <w:p>
            <w:pPr>
              <w:jc w:val="center"/>
              <w:rPr>
                <w:rFonts w:hint="eastAsia" w:ascii="仿宋_GB2312" w:hAnsi="仿宋_GB2312" w:eastAsia="仿宋_GB2312" w:cs="仿宋_GB2312"/>
                <w:sz w:val="24"/>
                <w:szCs w:val="24"/>
                <w:vertAlign w:val="baseline"/>
                <w:lang w:val="en-US" w:eastAsia="zh-CN"/>
              </w:rPr>
            </w:pPr>
          </w:p>
        </w:tc>
        <w:tc>
          <w:tcPr>
            <w:tcW w:w="110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82"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jc w:val="center"/>
              <w:rPr>
                <w:rFonts w:hint="eastAsia" w:ascii="仿宋_GB2312" w:hAnsi="仿宋_GB2312" w:eastAsia="仿宋_GB2312" w:cs="仿宋_GB2312"/>
                <w:sz w:val="24"/>
                <w:szCs w:val="24"/>
                <w:vertAlign w:val="baseline"/>
                <w:lang w:val="en-US" w:eastAsia="zh-CN"/>
              </w:rPr>
            </w:pP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vAlign w:val="center"/>
          </w:tcPr>
          <w:p>
            <w:pPr>
              <w:jc w:val="center"/>
              <w:rPr>
                <w:rFonts w:hint="eastAsia" w:ascii="仿宋_GB2312" w:hAnsi="仿宋_GB2312" w:eastAsia="仿宋_GB2312" w:cs="仿宋_GB2312"/>
                <w:sz w:val="24"/>
                <w:szCs w:val="24"/>
                <w:vertAlign w:val="baseline"/>
                <w:lang w:val="en-US" w:eastAsia="zh-CN"/>
              </w:rPr>
            </w:pPr>
          </w:p>
        </w:tc>
        <w:tc>
          <w:tcPr>
            <w:tcW w:w="585" w:type="dxa"/>
            <w:vAlign w:val="center"/>
          </w:tcPr>
          <w:p>
            <w:pPr>
              <w:jc w:val="center"/>
              <w:rPr>
                <w:rFonts w:hint="eastAsia" w:ascii="仿宋_GB2312" w:hAnsi="仿宋_GB2312" w:eastAsia="仿宋_GB2312" w:cs="仿宋_GB2312"/>
                <w:sz w:val="24"/>
                <w:szCs w:val="24"/>
                <w:vertAlign w:val="baseline"/>
                <w:lang w:val="en-US" w:eastAsia="zh-CN"/>
              </w:rPr>
            </w:pPr>
          </w:p>
        </w:tc>
        <w:tc>
          <w:tcPr>
            <w:tcW w:w="1013" w:type="dxa"/>
            <w:vAlign w:val="center"/>
          </w:tcPr>
          <w:p>
            <w:pPr>
              <w:jc w:val="center"/>
              <w:rPr>
                <w:rFonts w:hint="eastAsia" w:ascii="仿宋_GB2312" w:hAnsi="仿宋_GB2312" w:eastAsia="仿宋_GB2312" w:cs="仿宋_GB2312"/>
                <w:sz w:val="24"/>
                <w:szCs w:val="24"/>
                <w:vertAlign w:val="baseline"/>
                <w:lang w:val="en-US" w:eastAsia="zh-CN"/>
              </w:rPr>
            </w:pPr>
          </w:p>
        </w:tc>
        <w:tc>
          <w:tcPr>
            <w:tcW w:w="110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82" w:type="dxa"/>
            <w:vAlign w:val="center"/>
          </w:tcPr>
          <w:p>
            <w:pPr>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jc w:val="center"/>
              <w:rPr>
                <w:rFonts w:hint="eastAsia" w:ascii="仿宋_GB2312" w:hAnsi="仿宋_GB2312" w:eastAsia="仿宋_GB2312" w:cs="仿宋_GB2312"/>
                <w:sz w:val="24"/>
                <w:szCs w:val="24"/>
                <w:vertAlign w:val="baseline"/>
                <w:lang w:val="en-US" w:eastAsia="zh-CN"/>
              </w:rPr>
            </w:pP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vAlign w:val="center"/>
          </w:tcPr>
          <w:p>
            <w:pPr>
              <w:jc w:val="center"/>
              <w:rPr>
                <w:rFonts w:hint="eastAsia" w:ascii="仿宋_GB2312" w:hAnsi="仿宋_GB2312" w:eastAsia="仿宋_GB2312" w:cs="仿宋_GB2312"/>
                <w:sz w:val="24"/>
                <w:szCs w:val="24"/>
                <w:vertAlign w:val="baseline"/>
                <w:lang w:val="en-US" w:eastAsia="zh-CN"/>
              </w:rPr>
            </w:pPr>
          </w:p>
        </w:tc>
        <w:tc>
          <w:tcPr>
            <w:tcW w:w="585" w:type="dxa"/>
            <w:vAlign w:val="center"/>
          </w:tcPr>
          <w:p>
            <w:pPr>
              <w:jc w:val="center"/>
              <w:rPr>
                <w:rFonts w:hint="eastAsia" w:ascii="仿宋_GB2312" w:hAnsi="仿宋_GB2312" w:eastAsia="仿宋_GB2312" w:cs="仿宋_GB2312"/>
                <w:sz w:val="24"/>
                <w:szCs w:val="24"/>
                <w:vertAlign w:val="baseline"/>
                <w:lang w:val="en-US" w:eastAsia="zh-CN"/>
              </w:rPr>
            </w:pPr>
          </w:p>
        </w:tc>
        <w:tc>
          <w:tcPr>
            <w:tcW w:w="1013" w:type="dxa"/>
            <w:vAlign w:val="center"/>
          </w:tcPr>
          <w:p>
            <w:pPr>
              <w:jc w:val="center"/>
              <w:rPr>
                <w:rFonts w:hint="eastAsia" w:ascii="仿宋_GB2312" w:hAnsi="仿宋_GB2312" w:eastAsia="仿宋_GB2312" w:cs="仿宋_GB2312"/>
                <w:sz w:val="24"/>
                <w:szCs w:val="24"/>
                <w:vertAlign w:val="baseline"/>
                <w:lang w:val="en-US" w:eastAsia="zh-CN"/>
              </w:rPr>
            </w:pPr>
          </w:p>
        </w:tc>
        <w:tc>
          <w:tcPr>
            <w:tcW w:w="110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82" w:type="dxa"/>
            <w:vAlign w:val="center"/>
          </w:tcPr>
          <w:p>
            <w:pPr>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jc w:val="center"/>
              <w:rPr>
                <w:rFonts w:hint="eastAsia" w:ascii="仿宋_GB2312" w:hAnsi="仿宋_GB2312" w:eastAsia="仿宋_GB2312" w:cs="仿宋_GB2312"/>
                <w:sz w:val="24"/>
                <w:szCs w:val="24"/>
                <w:vertAlign w:val="baseline"/>
                <w:lang w:val="en-US" w:eastAsia="zh-CN"/>
              </w:rPr>
            </w:pP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vAlign w:val="center"/>
          </w:tcPr>
          <w:p>
            <w:pPr>
              <w:jc w:val="center"/>
              <w:rPr>
                <w:rFonts w:hint="eastAsia" w:ascii="仿宋_GB2312" w:hAnsi="仿宋_GB2312" w:eastAsia="仿宋_GB2312" w:cs="仿宋_GB2312"/>
                <w:sz w:val="24"/>
                <w:szCs w:val="24"/>
                <w:vertAlign w:val="baseline"/>
                <w:lang w:val="en-US" w:eastAsia="zh-CN"/>
              </w:rPr>
            </w:pPr>
          </w:p>
        </w:tc>
        <w:tc>
          <w:tcPr>
            <w:tcW w:w="585" w:type="dxa"/>
            <w:vAlign w:val="center"/>
          </w:tcPr>
          <w:p>
            <w:pPr>
              <w:jc w:val="center"/>
              <w:rPr>
                <w:rFonts w:hint="eastAsia" w:ascii="仿宋_GB2312" w:hAnsi="仿宋_GB2312" w:eastAsia="仿宋_GB2312" w:cs="仿宋_GB2312"/>
                <w:sz w:val="24"/>
                <w:szCs w:val="24"/>
                <w:vertAlign w:val="baseline"/>
                <w:lang w:val="en-US" w:eastAsia="zh-CN"/>
              </w:rPr>
            </w:pPr>
          </w:p>
        </w:tc>
        <w:tc>
          <w:tcPr>
            <w:tcW w:w="1013" w:type="dxa"/>
            <w:vAlign w:val="center"/>
          </w:tcPr>
          <w:p>
            <w:pPr>
              <w:jc w:val="center"/>
              <w:rPr>
                <w:rFonts w:hint="eastAsia" w:ascii="仿宋_GB2312" w:hAnsi="仿宋_GB2312" w:eastAsia="仿宋_GB2312" w:cs="仿宋_GB2312"/>
                <w:sz w:val="24"/>
                <w:szCs w:val="24"/>
                <w:vertAlign w:val="baseline"/>
                <w:lang w:val="en-US" w:eastAsia="zh-CN"/>
              </w:rPr>
            </w:pPr>
          </w:p>
        </w:tc>
        <w:tc>
          <w:tcPr>
            <w:tcW w:w="110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82" w:type="dxa"/>
            <w:vAlign w:val="center"/>
          </w:tcPr>
          <w:p>
            <w:pPr>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jc w:val="center"/>
              <w:rPr>
                <w:rFonts w:hint="eastAsia" w:ascii="仿宋_GB2312" w:hAnsi="仿宋_GB2312" w:eastAsia="仿宋_GB2312" w:cs="仿宋_GB2312"/>
                <w:sz w:val="24"/>
                <w:szCs w:val="24"/>
                <w:vertAlign w:val="baseline"/>
                <w:lang w:val="en-US" w:eastAsia="zh-CN"/>
              </w:rPr>
            </w:pP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vAlign w:val="center"/>
          </w:tcPr>
          <w:p>
            <w:pPr>
              <w:jc w:val="center"/>
              <w:rPr>
                <w:rFonts w:hint="eastAsia" w:ascii="仿宋_GB2312" w:hAnsi="仿宋_GB2312" w:eastAsia="仿宋_GB2312" w:cs="仿宋_GB2312"/>
                <w:sz w:val="24"/>
                <w:szCs w:val="24"/>
                <w:vertAlign w:val="baseline"/>
                <w:lang w:val="en-US" w:eastAsia="zh-CN"/>
              </w:rPr>
            </w:pPr>
          </w:p>
        </w:tc>
        <w:tc>
          <w:tcPr>
            <w:tcW w:w="585" w:type="dxa"/>
            <w:vAlign w:val="center"/>
          </w:tcPr>
          <w:p>
            <w:pPr>
              <w:jc w:val="center"/>
              <w:rPr>
                <w:rFonts w:hint="eastAsia" w:ascii="仿宋_GB2312" w:hAnsi="仿宋_GB2312" w:eastAsia="仿宋_GB2312" w:cs="仿宋_GB2312"/>
                <w:sz w:val="24"/>
                <w:szCs w:val="24"/>
                <w:vertAlign w:val="baseline"/>
                <w:lang w:val="en-US" w:eastAsia="zh-CN"/>
              </w:rPr>
            </w:pPr>
          </w:p>
        </w:tc>
        <w:tc>
          <w:tcPr>
            <w:tcW w:w="1013" w:type="dxa"/>
            <w:vAlign w:val="center"/>
          </w:tcPr>
          <w:p>
            <w:pPr>
              <w:jc w:val="center"/>
              <w:rPr>
                <w:rFonts w:hint="eastAsia" w:ascii="仿宋_GB2312" w:hAnsi="仿宋_GB2312" w:eastAsia="仿宋_GB2312" w:cs="仿宋_GB2312"/>
                <w:sz w:val="24"/>
                <w:szCs w:val="24"/>
                <w:vertAlign w:val="baseline"/>
                <w:lang w:val="en-US" w:eastAsia="zh-CN"/>
              </w:rPr>
            </w:pPr>
          </w:p>
        </w:tc>
        <w:tc>
          <w:tcPr>
            <w:tcW w:w="110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82" w:type="dxa"/>
            <w:vAlign w:val="center"/>
          </w:tcPr>
          <w:p>
            <w:pPr>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jc w:val="center"/>
              <w:rPr>
                <w:rFonts w:hint="eastAsia" w:ascii="仿宋_GB2312" w:hAnsi="仿宋_GB2312" w:eastAsia="仿宋_GB2312" w:cs="仿宋_GB2312"/>
                <w:sz w:val="24"/>
                <w:szCs w:val="24"/>
                <w:vertAlign w:val="baseline"/>
                <w:lang w:val="en-US" w:eastAsia="zh-CN"/>
              </w:rPr>
            </w:pP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vAlign w:val="center"/>
          </w:tcPr>
          <w:p>
            <w:pPr>
              <w:jc w:val="center"/>
              <w:rPr>
                <w:rFonts w:hint="eastAsia" w:ascii="仿宋_GB2312" w:hAnsi="仿宋_GB2312" w:eastAsia="仿宋_GB2312" w:cs="仿宋_GB2312"/>
                <w:sz w:val="24"/>
                <w:szCs w:val="24"/>
                <w:vertAlign w:val="baseline"/>
                <w:lang w:val="en-US" w:eastAsia="zh-CN"/>
              </w:rPr>
            </w:pPr>
          </w:p>
        </w:tc>
        <w:tc>
          <w:tcPr>
            <w:tcW w:w="585" w:type="dxa"/>
            <w:vAlign w:val="center"/>
          </w:tcPr>
          <w:p>
            <w:pPr>
              <w:jc w:val="center"/>
              <w:rPr>
                <w:rFonts w:hint="eastAsia" w:ascii="仿宋_GB2312" w:hAnsi="仿宋_GB2312" w:eastAsia="仿宋_GB2312" w:cs="仿宋_GB2312"/>
                <w:sz w:val="24"/>
                <w:szCs w:val="24"/>
                <w:vertAlign w:val="baseline"/>
                <w:lang w:val="en-US" w:eastAsia="zh-CN"/>
              </w:rPr>
            </w:pPr>
          </w:p>
        </w:tc>
        <w:tc>
          <w:tcPr>
            <w:tcW w:w="1013" w:type="dxa"/>
            <w:vAlign w:val="center"/>
          </w:tcPr>
          <w:p>
            <w:pPr>
              <w:jc w:val="center"/>
              <w:rPr>
                <w:rFonts w:hint="eastAsia" w:ascii="仿宋_GB2312" w:hAnsi="仿宋_GB2312" w:eastAsia="仿宋_GB2312" w:cs="仿宋_GB2312"/>
                <w:sz w:val="24"/>
                <w:szCs w:val="24"/>
                <w:vertAlign w:val="baseline"/>
                <w:lang w:val="en-US" w:eastAsia="zh-CN"/>
              </w:rPr>
            </w:pPr>
          </w:p>
        </w:tc>
        <w:tc>
          <w:tcPr>
            <w:tcW w:w="110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75" w:type="dxa"/>
            <w:gridSpan w:val="6"/>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108" w:type="dxa"/>
            <w:vAlign w:val="center"/>
          </w:tcPr>
          <w:p>
            <w:pPr>
              <w:jc w:val="center"/>
              <w:rPr>
                <w:rFonts w:hint="eastAsia" w:ascii="仿宋_GB2312" w:hAnsi="仿宋_GB2312" w:eastAsia="仿宋_GB2312" w:cs="仿宋_GB2312"/>
                <w:b/>
                <w:bCs/>
                <w:sz w:val="24"/>
                <w:szCs w:val="24"/>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三、布线部分</w:t>
      </w:r>
    </w:p>
    <w:tbl>
      <w:tblPr>
        <w:tblStyle w:val="12"/>
        <w:tblW w:w="8591"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5"/>
        <w:gridCol w:w="1875"/>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187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免费质保期</w:t>
            </w:r>
          </w:p>
        </w:tc>
        <w:tc>
          <w:tcPr>
            <w:tcW w:w="1571" w:type="dxa"/>
            <w:vAlign w:val="center"/>
          </w:tcPr>
          <w:p>
            <w:pPr>
              <w:jc w:val="center"/>
              <w:rPr>
                <w:rFonts w:hint="eastAsia"/>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vertAlign w:val="baseline"/>
                <w:lang w:val="en-US" w:eastAsia="zh-CN"/>
              </w:rPr>
            </w:pPr>
            <w:r>
              <w:rPr>
                <w:rFonts w:hint="eastAsia" w:ascii="仿宋_GB2312" w:hAnsi="仿宋_GB2312" w:eastAsia="仿宋_GB2312" w:cs="仿宋_GB2312"/>
                <w:color w:val="auto"/>
                <w:sz w:val="21"/>
                <w:szCs w:val="21"/>
                <w:vertAlign w:val="baseline"/>
                <w:lang w:val="en-US" w:eastAsia="zh-CN"/>
              </w:rPr>
              <w:t>分诊叫号系统布线总费用（包含项目需要的数据线、电源线的材料与人工等费用）</w:t>
            </w: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四、其他需要单独报价部分（如有）</w:t>
      </w:r>
    </w:p>
    <w:tbl>
      <w:tblPr>
        <w:tblStyle w:val="12"/>
        <w:tblW w:w="8591"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5"/>
        <w:gridCol w:w="1875"/>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187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免费质保期</w:t>
            </w:r>
          </w:p>
        </w:tc>
        <w:tc>
          <w:tcPr>
            <w:tcW w:w="1571" w:type="dxa"/>
            <w:vAlign w:val="center"/>
          </w:tcPr>
          <w:p>
            <w:pPr>
              <w:jc w:val="center"/>
              <w:rPr>
                <w:rFonts w:hint="eastAsia"/>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vertAlign w:val="baseline"/>
                <w:lang w:val="en-US" w:eastAsia="zh-CN"/>
              </w:rPr>
            </w:pP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14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875" w:type="dxa"/>
            <w:vAlign w:val="center"/>
          </w:tcPr>
          <w:p>
            <w:pPr>
              <w:jc w:val="center"/>
              <w:rPr>
                <w:rFonts w:hint="eastAsia"/>
                <w:vertAlign w:val="baseline"/>
                <w:lang w:val="en-US" w:eastAsia="zh-CN"/>
              </w:rPr>
            </w:pPr>
          </w:p>
        </w:tc>
        <w:tc>
          <w:tcPr>
            <w:tcW w:w="1571"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020" w:type="dxa"/>
            <w:gridSpan w:val="2"/>
            <w:vAlign w:val="center"/>
          </w:tcPr>
          <w:p>
            <w:pPr>
              <w:jc w:val="center"/>
              <w:rPr>
                <w:rFonts w:hint="eastAsia"/>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571" w:type="dxa"/>
            <w:vAlign w:val="center"/>
          </w:tcPr>
          <w:p>
            <w:pPr>
              <w:jc w:val="center"/>
              <w:rPr>
                <w:rFonts w:hint="eastAsia"/>
                <w:b/>
                <w:bCs/>
                <w:vertAlign w:val="baseline"/>
                <w:lang w:val="en-US" w:eastAsia="zh-CN"/>
              </w:rPr>
            </w:pPr>
          </w:p>
        </w:tc>
      </w:tr>
    </w:tbl>
    <w:p>
      <w:pPr>
        <w:rPr>
          <w:rFonts w:hint="eastAsia" w:ascii="仿宋_GB2312" w:hAnsi="仿宋_GB2312" w:eastAsia="仿宋_GB2312" w:cs="仿宋_GB2312"/>
          <w:b w:val="0"/>
          <w:bCs/>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分诊叫号系统项目要求</w:t>
      </w:r>
    </w:p>
    <w:p>
      <w:pPr>
        <w:spacing w:line="500" w:lineRule="exact"/>
        <w:ind w:firstLine="0" w:firstLineChars="0"/>
        <w:jc w:val="center"/>
        <w:rPr>
          <w:rFonts w:ascii="仿宋" w:hAnsi="仿宋" w:eastAsia="仿宋" w:cs="仿宋"/>
          <w:sz w:val="24"/>
          <w:szCs w:val="24"/>
        </w:rPr>
      </w:pPr>
    </w:p>
    <w:p>
      <w:pPr>
        <w:spacing w:line="500" w:lineRule="exact"/>
        <w:ind w:left="480" w:firstLine="643"/>
        <w:rPr>
          <w:rFonts w:hint="eastAsia" w:ascii="仿宋_GB2312" w:hAnsi="仿宋_GB2312" w:eastAsia="仿宋_GB2312" w:cs="仿宋_GB2312"/>
          <w:b/>
          <w:bCs/>
          <w:sz w:val="24"/>
          <w:szCs w:val="24"/>
        </w:rPr>
      </w:pPr>
      <w:bookmarkStart w:id="0" w:name="_Toc88465182"/>
      <w:r>
        <w:rPr>
          <w:rFonts w:hint="eastAsia" w:ascii="仿宋_GB2312" w:hAnsi="仿宋_GB2312" w:eastAsia="仿宋_GB2312" w:cs="仿宋_GB2312"/>
          <w:b/>
          <w:bCs/>
          <w:sz w:val="24"/>
          <w:szCs w:val="24"/>
        </w:rPr>
        <w:t>一、医院门诊分布：</w:t>
      </w:r>
    </w:p>
    <w:p>
      <w:pPr>
        <w:spacing w:line="500" w:lineRule="exact"/>
        <w:ind w:left="480" w:firstLine="64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1、一楼共9个诊室：</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（1）东区：共4个诊室（个别时段有导诊人员）</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门诊：</w:t>
      </w:r>
      <w:r>
        <w:rPr>
          <w:rFonts w:hint="eastAsia" w:ascii="仿宋_GB2312" w:hAnsi="仿宋_GB2312" w:eastAsia="仿宋_GB2312" w:cs="仿宋_GB2312"/>
          <w:sz w:val="24"/>
          <w:szCs w:val="24"/>
        </w:rPr>
        <w:t>急诊内科、急诊外科、外科门诊、骨科门诊</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设置：</w:t>
      </w:r>
      <w:r>
        <w:rPr>
          <w:rFonts w:hint="eastAsia" w:ascii="仿宋_GB2312" w:hAnsi="仿宋_GB2312" w:eastAsia="仿宋_GB2312" w:cs="仿宋_GB2312"/>
          <w:sz w:val="24"/>
          <w:szCs w:val="24"/>
        </w:rPr>
        <w:t>设置2台报到机。急诊内科单独用1台，不配大电视，用门口电子屏；急诊外科、外科门诊和骨科门诊共用1台，配置电视机。</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（2）西区：共5个诊室（有导诊人员）</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门诊：</w:t>
      </w:r>
      <w:r>
        <w:rPr>
          <w:rFonts w:hint="eastAsia" w:ascii="仿宋_GB2312" w:hAnsi="仿宋_GB2312" w:eastAsia="仿宋_GB2312" w:cs="仿宋_GB2312"/>
          <w:sz w:val="24"/>
          <w:szCs w:val="24"/>
        </w:rPr>
        <w:t>精神心理普通门诊3个、专家门诊2个。</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设置：</w:t>
      </w:r>
      <w:r>
        <w:rPr>
          <w:rFonts w:hint="eastAsia" w:ascii="仿宋_GB2312" w:hAnsi="仿宋_GB2312" w:eastAsia="仿宋_GB2312" w:cs="仿宋_GB2312"/>
          <w:sz w:val="24"/>
          <w:szCs w:val="24"/>
        </w:rPr>
        <w:t>要设立分诊台，并配置1台报到机和1台电视机。</w:t>
      </w:r>
    </w:p>
    <w:p>
      <w:pPr>
        <w:spacing w:line="500" w:lineRule="exact"/>
        <w:ind w:left="480" w:firstLine="64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2、二楼共5个诊室和1个检验窗口：</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（1）西区：共5个诊室（无导诊人员）</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门诊：</w:t>
      </w:r>
      <w:r>
        <w:rPr>
          <w:rFonts w:hint="eastAsia" w:ascii="仿宋_GB2312" w:hAnsi="仿宋_GB2312" w:eastAsia="仿宋_GB2312" w:cs="仿宋_GB2312"/>
          <w:sz w:val="24"/>
          <w:szCs w:val="24"/>
        </w:rPr>
        <w:t>妇科门诊、产科门诊、中医科门诊、颈肩腰腿痛科门诊（小儿推拿门诊）、皮肤科门诊</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设置：</w:t>
      </w:r>
      <w:r>
        <w:rPr>
          <w:rFonts w:hint="eastAsia" w:ascii="仿宋_GB2312" w:hAnsi="仿宋_GB2312" w:eastAsia="仿宋_GB2312" w:cs="仿宋_GB2312"/>
          <w:sz w:val="24"/>
          <w:szCs w:val="24"/>
        </w:rPr>
        <w:t>设置1台报到机和1台电视机。</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（2）中区：检验科（无导诊人员）</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设置：</w:t>
      </w:r>
      <w:r>
        <w:rPr>
          <w:rFonts w:hint="eastAsia" w:ascii="仿宋_GB2312" w:hAnsi="仿宋_GB2312" w:eastAsia="仿宋_GB2312" w:cs="仿宋_GB2312"/>
          <w:sz w:val="24"/>
          <w:szCs w:val="24"/>
        </w:rPr>
        <w:t>设置1台报到机和1台电视机。</w:t>
      </w:r>
    </w:p>
    <w:p>
      <w:pPr>
        <w:spacing w:line="500" w:lineRule="exact"/>
        <w:ind w:left="480" w:firstLine="64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3、三楼共10个诊室：</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（1）中区1：共2个诊室（无导诊人员）</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门诊：</w:t>
      </w:r>
      <w:r>
        <w:rPr>
          <w:rFonts w:hint="eastAsia" w:ascii="仿宋_GB2312" w:hAnsi="仿宋_GB2312" w:eastAsia="仿宋_GB2312" w:cs="仿宋_GB2312"/>
          <w:sz w:val="24"/>
          <w:szCs w:val="24"/>
        </w:rPr>
        <w:t>儿科门诊、针灸推拿科门诊</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设置：</w:t>
      </w:r>
      <w:r>
        <w:rPr>
          <w:rFonts w:hint="eastAsia" w:ascii="仿宋_GB2312" w:hAnsi="仿宋_GB2312" w:eastAsia="仿宋_GB2312" w:cs="仿宋_GB2312"/>
          <w:sz w:val="24"/>
          <w:szCs w:val="24"/>
        </w:rPr>
        <w:t>设置1台报到机和1台电视。</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（2）中区2：共5个诊室（有导诊人员）</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门诊：</w:t>
      </w:r>
      <w:r>
        <w:rPr>
          <w:rFonts w:hint="eastAsia" w:ascii="仿宋_GB2312" w:hAnsi="仿宋_GB2312" w:eastAsia="仿宋_GB2312" w:cs="仿宋_GB2312"/>
          <w:sz w:val="24"/>
          <w:szCs w:val="24"/>
        </w:rPr>
        <w:t>心内科门诊、神经内科门诊、呼吸内分泌科门诊、消化内科门诊、内科专家门诊</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设置：</w:t>
      </w:r>
      <w:r>
        <w:rPr>
          <w:rFonts w:hint="eastAsia" w:ascii="仿宋_GB2312" w:hAnsi="仿宋_GB2312" w:eastAsia="仿宋_GB2312" w:cs="仿宋_GB2312"/>
          <w:sz w:val="24"/>
          <w:szCs w:val="24"/>
        </w:rPr>
        <w:t>设置1台报到机和1台电视机。</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（3）东区：共3个诊室（无导诊人员）</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门诊：</w:t>
      </w:r>
      <w:r>
        <w:rPr>
          <w:rFonts w:hint="eastAsia" w:ascii="仿宋_GB2312" w:hAnsi="仿宋_GB2312" w:eastAsia="仿宋_GB2312" w:cs="仿宋_GB2312"/>
          <w:sz w:val="24"/>
          <w:szCs w:val="24"/>
        </w:rPr>
        <w:t>眼科门诊、眼科专家门诊、耳鼻喉科门诊</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设置：</w:t>
      </w:r>
      <w:r>
        <w:rPr>
          <w:rFonts w:hint="eastAsia" w:ascii="仿宋_GB2312" w:hAnsi="仿宋_GB2312" w:eastAsia="仿宋_GB2312" w:cs="仿宋_GB2312"/>
          <w:sz w:val="24"/>
          <w:szCs w:val="24"/>
        </w:rPr>
        <w:t>设置1台报到机和1台电视机。</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二、分诊叫号系统需求说明</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1.共性需求:</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自助机签到机（或者报道机）需要支持身份证、医保卡、电子医保凭证、电子健康卡、山东省电子健康码、院内就诊卡（磁条卡）扫描识别、打印标签等功能，后续还要根据上级政策要求支持电子身份证、威海市市民卡等卡介质，并支持其他上级要求的相关功能。</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分诊叫号系统能对接院内信息系统（HIS系统、查体系统等），自动获取患者挂号信息与缴费信息。可以将医院窗口挂号、自助机挂号、各类微信众公号的预约挂号和现场挂号进行号源统一整合、统一排序，挂号后根据预约挂号和现场挂号的时间进行合理排序。</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根据医院的需求可以选择患者挂号后直接进入诊区的排队队列（自动签到），也可以选择患者来到候诊区后签到后进入排队队列（到诊签到）两种模式。使用到诊模式时，可以在分诊台工作站上部署分诊台软件，由分诊护士对患者进行签到。</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预约的患者签到后系统会智能识别出该患者预约时间段，并且与门诊挂号患者进行混合排队，在排队显示屏上也会在该患者姓名后面出现特别标识，在未到预约时间段的时候预约的患者的正常排队，当到该患者的预约时间段的时候系统会自动安排该患者优先就诊。</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患者来到诊区签到后将患者信息自动分配到相应的医师排队队列或者科室排队队列，患者在集中候诊区等候就诊。回诊患者或过号患者回到诊区后需要重新签到，签到后自动识别患者信息且自动应用回诊规则或过号规则，患者则会重新进入排队队列等候就诊。</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1.6初诊患者、过号患者、回诊患者排队规则可以在系统后台进行设定，比如“一初诊一回诊”、“二初诊一回诊”等规则，数值可以根据需要自主设定。</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1.7要满足急危重症患者、65周岁以上老年人、现役退役军人、贫困人口等特殊人群的优先就诊，在系统上能识别该类人群，且能自动排序在就诊序列里。</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1.8服务端接到医生工作站上安装的虚拟叫号器发出的呼叫指令，将医生呼叫的患者信息同时显示在各级分诊显示屏上。例如：候诊大厅集中候诊区分诊屏显示：“ 请××（患者姓名）到X诊室门口等候”；诊室门口诊室门口分诊屏显示：“请××（患者姓名）到X诊室就诊”。</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1.8各门诊门口的电子屏要与医生工作站相关联，如该门诊由张三医生坐诊，待张三医生登录工号后，电子屏能自动相识张三医生的个人简介，包括相片、职称、擅长等。</w:t>
      </w:r>
    </w:p>
    <w:p>
      <w:pPr>
        <w:spacing w:line="500" w:lineRule="exact"/>
        <w:ind w:left="480"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1.10在中午等人流量少的时间，候诊大厅集中候诊区分诊屏与诊室门口诊室门口分诊屏排队显示屏可以根据医院需要设定自动关屏节约电量，或者自动切换到多媒体宣教任务，宣教任务内容医院可以自己配置。</w:t>
      </w:r>
    </w:p>
    <w:p>
      <w:pPr>
        <w:spacing w:line="500" w:lineRule="exact"/>
        <w:ind w:left="480" w:firstLine="643"/>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2.个性需求：</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2.1精神心理科门诊（一楼西区）：</w:t>
      </w:r>
      <w:r>
        <w:rPr>
          <w:rFonts w:hint="eastAsia" w:ascii="仿宋_GB2312" w:hAnsi="仿宋_GB2312" w:eastAsia="仿宋_GB2312" w:cs="仿宋_GB2312"/>
          <w:sz w:val="24"/>
          <w:szCs w:val="24"/>
        </w:rPr>
        <w:t>可以在精神心理科门诊区域设置一个分诊台，由分诊护士对一些特殊就诊需求进行人工调整，正常排队由自助机报到机进行报到、回诊等需求处理。(考虑精神心理患者的特殊性，在此配置笔记本电脑一台作为分诊台，电脑由医院自购)。除精神心理门诊区域，其他区域，患者的初诊、过号、回诊全部采用自助签到机进行自助签到。</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2.2眼科和耳鼻喉科（三楼东区）：</w:t>
      </w:r>
      <w:r>
        <w:rPr>
          <w:rFonts w:hint="eastAsia" w:ascii="仿宋_GB2312" w:hAnsi="仿宋_GB2312" w:eastAsia="仿宋_GB2312" w:cs="仿宋_GB2312"/>
          <w:sz w:val="24"/>
          <w:szCs w:val="24"/>
        </w:rPr>
        <w:t>该门诊除了要诊治患者外，还承担了一部分查体人员的专科查体工作，查体人员不挂号，故需要系统与查体系统作对接将这两个门诊的就诊患者和查体人员进行区分。眼科专家门诊，专家门诊不忙后可对普通门诊进行诊断。</w:t>
      </w:r>
    </w:p>
    <w:p>
      <w:pPr>
        <w:spacing w:line="500" w:lineRule="exact"/>
        <w:ind w:left="420" w:leftChars="20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2.3呼吸内分泌科（三楼中区）：</w:t>
      </w:r>
      <w:r>
        <w:rPr>
          <w:rFonts w:hint="eastAsia" w:ascii="仿宋_GB2312" w:hAnsi="仿宋_GB2312" w:eastAsia="仿宋_GB2312" w:cs="仿宋_GB2312"/>
          <w:sz w:val="24"/>
          <w:szCs w:val="24"/>
        </w:rPr>
        <w:t>呼吸内分泌科是一个科室，但诊治呼吸系统和内分泌系统两个科室的疾病，故系统会出现这两个科室的名字，</w:t>
      </w:r>
      <w:r>
        <w:rPr>
          <w:rFonts w:hint="eastAsia" w:ascii="仿宋_GB2312" w:hAnsi="仿宋_GB2312" w:eastAsia="仿宋_GB2312" w:cs="仿宋_GB2312"/>
          <w:sz w:val="24"/>
          <w:szCs w:val="24"/>
          <w:lang w:val="en-US" w:eastAsia="zh-CN"/>
        </w:rPr>
        <w:t>需要</w:t>
      </w:r>
      <w:r>
        <w:rPr>
          <w:rFonts w:hint="eastAsia" w:ascii="仿宋_GB2312" w:hAnsi="仿宋_GB2312" w:eastAsia="仿宋_GB2312" w:cs="仿宋_GB2312"/>
          <w:sz w:val="24"/>
          <w:szCs w:val="24"/>
        </w:rPr>
        <w:t>设置成共用，避免出现两个号源号池、挂这两个科出现同一时段的</w:t>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rPr>
        <w:t>。</w:t>
      </w:r>
    </w:p>
    <w:p>
      <w:pPr>
        <w:spacing w:line="500" w:lineRule="exact"/>
        <w:ind w:left="480" w:firstLine="643"/>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2.4儿科门诊和针灸推拿科门诊（三楼西区扶梯对面）：</w:t>
      </w:r>
      <w:r>
        <w:rPr>
          <w:rFonts w:hint="eastAsia" w:ascii="仿宋_GB2312" w:hAnsi="仿宋_GB2312" w:eastAsia="仿宋_GB2312" w:cs="仿宋_GB2312"/>
          <w:sz w:val="24"/>
          <w:szCs w:val="24"/>
        </w:rPr>
        <w:t>只在电视上排队，不在门口装屏。儿科门诊一个科室挂了四个小科室在同一个房间内：儿科门诊、儿科专家门诊、儿科癫痫门诊、儿童发育行为门诊，在门口屏只能显示1个名称，叫号时可叫科室具体名称。</w:t>
      </w:r>
    </w:p>
    <w:p>
      <w:pPr>
        <w:spacing w:line="500" w:lineRule="exact"/>
        <w:ind w:left="480" w:firstLine="643"/>
        <w:rPr>
          <w:rFonts w:hint="eastAsia" w:ascii="仿宋_GB2312" w:hAnsi="仿宋_GB2312" w:eastAsia="仿宋_GB2312" w:cs="仿宋_GB2312"/>
          <w:color w:val="auto"/>
          <w:sz w:val="24"/>
          <w:szCs w:val="24"/>
        </w:rPr>
      </w:pPr>
      <w:r>
        <w:rPr>
          <w:rFonts w:hint="eastAsia" w:ascii="仿宋_GB2312" w:hAnsi="仿宋_GB2312" w:eastAsia="仿宋_GB2312" w:cs="仿宋_GB2312"/>
          <w:b/>
          <w:bCs/>
          <w:sz w:val="24"/>
          <w:szCs w:val="24"/>
        </w:rPr>
        <w:t>2.5中医科门诊和皮肤科门诊（二楼西区）</w:t>
      </w:r>
      <w:r>
        <w:rPr>
          <w:rFonts w:hint="eastAsia" w:ascii="仿宋_GB2312" w:hAnsi="仿宋_GB2312" w:eastAsia="仿宋_GB2312" w:cs="仿宋_GB2312"/>
          <w:sz w:val="24"/>
          <w:szCs w:val="24"/>
        </w:rPr>
        <w:t>：为中医科门诊和皮肤科门诊有时候是同一个医生坐</w:t>
      </w:r>
      <w:r>
        <w:rPr>
          <w:rFonts w:hint="eastAsia" w:ascii="仿宋_GB2312" w:hAnsi="仿宋_GB2312" w:eastAsia="仿宋_GB2312" w:cs="仿宋_GB2312"/>
          <w:color w:val="auto"/>
          <w:sz w:val="24"/>
          <w:szCs w:val="24"/>
        </w:rPr>
        <w:t>诊，而且该医生会同时坐诊专</w:t>
      </w:r>
      <w:r>
        <w:rPr>
          <w:rFonts w:hint="eastAsia" w:ascii="仿宋_GB2312" w:hAnsi="仿宋_GB2312" w:eastAsia="仿宋_GB2312" w:cs="仿宋_GB2312"/>
          <w:color w:val="auto"/>
          <w:sz w:val="24"/>
          <w:szCs w:val="24"/>
          <w:lang w:val="en-US" w:eastAsia="zh-CN"/>
        </w:rPr>
        <w:t>家</w:t>
      </w:r>
      <w:r>
        <w:rPr>
          <w:rFonts w:hint="eastAsia" w:ascii="仿宋_GB2312" w:hAnsi="仿宋_GB2312" w:eastAsia="仿宋_GB2312" w:cs="仿宋_GB2312"/>
          <w:color w:val="auto"/>
          <w:sz w:val="24"/>
          <w:szCs w:val="24"/>
        </w:rPr>
        <w:t>门诊和普通门诊，需要解决叫号的相关问题。</w:t>
      </w:r>
    </w:p>
    <w:p>
      <w:pPr>
        <w:spacing w:line="500" w:lineRule="exact"/>
        <w:ind w:left="480" w:firstLine="643"/>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sz w:val="24"/>
          <w:szCs w:val="24"/>
        </w:rPr>
        <w:t>2.6检验科（二楼中区扶梯对面）</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未交费的患者到检验科报到机报到时要有未交费提醒，避免漏费。</w:t>
      </w:r>
      <w:bookmarkEnd w:id="0"/>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BE3A43"/>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3775D0"/>
    <w:rsid w:val="3AB050B1"/>
    <w:rsid w:val="3B8A4BB6"/>
    <w:rsid w:val="3BAA707A"/>
    <w:rsid w:val="3BE22435"/>
    <w:rsid w:val="3BE91C1D"/>
    <w:rsid w:val="3C274923"/>
    <w:rsid w:val="3C732980"/>
    <w:rsid w:val="3D4572EC"/>
    <w:rsid w:val="3E7F198B"/>
    <w:rsid w:val="40A34F94"/>
    <w:rsid w:val="40F724E5"/>
    <w:rsid w:val="43B1151D"/>
    <w:rsid w:val="43B62B93"/>
    <w:rsid w:val="45354D2F"/>
    <w:rsid w:val="453C4CFD"/>
    <w:rsid w:val="45C97AD5"/>
    <w:rsid w:val="46561CC4"/>
    <w:rsid w:val="46F964AC"/>
    <w:rsid w:val="47C13124"/>
    <w:rsid w:val="486C7417"/>
    <w:rsid w:val="4A306100"/>
    <w:rsid w:val="4B312183"/>
    <w:rsid w:val="4CCD63FC"/>
    <w:rsid w:val="4DAF5B0B"/>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7D730F"/>
    <w:rsid w:val="5CEE3FCD"/>
    <w:rsid w:val="5D0A749E"/>
    <w:rsid w:val="5D9B7C91"/>
    <w:rsid w:val="5DA24171"/>
    <w:rsid w:val="5DD830E4"/>
    <w:rsid w:val="5EC42E35"/>
    <w:rsid w:val="61594C52"/>
    <w:rsid w:val="618A062A"/>
    <w:rsid w:val="624772C6"/>
    <w:rsid w:val="626F6842"/>
    <w:rsid w:val="639C74DA"/>
    <w:rsid w:val="63CB7229"/>
    <w:rsid w:val="64606ABA"/>
    <w:rsid w:val="64E613E5"/>
    <w:rsid w:val="64F07963"/>
    <w:rsid w:val="667C5FCE"/>
    <w:rsid w:val="66E05971"/>
    <w:rsid w:val="67761523"/>
    <w:rsid w:val="67782713"/>
    <w:rsid w:val="68504699"/>
    <w:rsid w:val="685C0C8B"/>
    <w:rsid w:val="69252342"/>
    <w:rsid w:val="69CB420D"/>
    <w:rsid w:val="69D86BC2"/>
    <w:rsid w:val="6AD72DFF"/>
    <w:rsid w:val="6AEE4BF2"/>
    <w:rsid w:val="6B870862"/>
    <w:rsid w:val="6BAB4EF0"/>
    <w:rsid w:val="6D373CB7"/>
    <w:rsid w:val="6DF6410C"/>
    <w:rsid w:val="6E955349"/>
    <w:rsid w:val="71E73A79"/>
    <w:rsid w:val="72DB2E88"/>
    <w:rsid w:val="7353424E"/>
    <w:rsid w:val="735D5523"/>
    <w:rsid w:val="76D4524B"/>
    <w:rsid w:val="76F774A3"/>
    <w:rsid w:val="77305324"/>
    <w:rsid w:val="77D17783"/>
    <w:rsid w:val="78080ACE"/>
    <w:rsid w:val="786067D4"/>
    <w:rsid w:val="78D93B02"/>
    <w:rsid w:val="790D0676"/>
    <w:rsid w:val="79370F44"/>
    <w:rsid w:val="7A9F7EA6"/>
    <w:rsid w:val="7BBD6CAF"/>
    <w:rsid w:val="7BF62302"/>
    <w:rsid w:val="7C9A1E53"/>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2023-11-28T02:59:17Z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