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LZ2023-36XX的超融合平台资源池扩容项目</w:t>
      </w:r>
      <w:r>
        <w:rPr>
          <w:rFonts w:hint="eastAsia" w:ascii="仿宋_GB2312" w:hAnsi="仿宋_GB2312" w:eastAsia="仿宋_GB2312" w:cs="仿宋_GB2312"/>
          <w:color w:val="auto"/>
          <w:sz w:val="32"/>
          <w:szCs w:val="32"/>
          <w:lang w:val="en-US" w:eastAsia="zh-CN"/>
        </w:rPr>
        <w:t>实施采购前综合论证</w:t>
      </w:r>
      <w:r>
        <w:rPr>
          <w:rFonts w:hint="eastAsia" w:ascii="仿宋_GB2312" w:hAnsi="仿宋_GB2312" w:eastAsia="仿宋_GB2312" w:cs="仿宋_GB2312"/>
          <w:color w:val="auto"/>
          <w:sz w:val="32"/>
          <w:szCs w:val="32"/>
          <w:u w:val="single"/>
          <w:lang w:val="en-US" w:eastAsia="zh-CN"/>
        </w:rPr>
        <w:t>（第二次）</w:t>
      </w:r>
      <w:r>
        <w:rPr>
          <w:rFonts w:hint="eastAsia" w:ascii="仿宋_GB2312" w:hAnsi="仿宋_GB2312" w:eastAsia="仿宋_GB2312" w:cs="仿宋_GB2312"/>
          <w:color w:val="auto"/>
          <w:sz w:val="32"/>
          <w:szCs w:val="32"/>
          <w:lang w:val="en-US" w:eastAsia="zh-CN"/>
        </w:rPr>
        <w:t>，欢迎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2023年11月10日14:00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医院超融合平台资源池扩容项目，主要内容见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《超融合平台资源池扩容项目要求》。</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项目付款方式为验收合格之日起60日内支付总价款的90%，其他10%作为质保金于验收合格后一年内付清。</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bookmarkStart w:id="0" w:name="_GoBack"/>
      <w:bookmarkEnd w:id="0"/>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2023年11月8日17:00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本项目可以申请线上方式报名和线上方式参与，如需申请请通过本函“八、联系人与联系方式”中的电话咨询相关事宜。</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w:t>
      </w:r>
      <w:r>
        <w:rPr>
          <w:rFonts w:hint="eastAsia" w:ascii="仿宋_GB2312" w:eastAsia="仿宋_GB2312"/>
          <w:color w:val="auto"/>
          <w:sz w:val="32"/>
          <w:szCs w:val="32"/>
          <w:lang w:val="en-US" w:eastAsia="zh-CN"/>
        </w:rPr>
        <w:t>《报价单》3份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五）产品优势/服务方案与质量保障措施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5.超融合平台资源池扩容项目要求</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2023年10月31日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名称</w:t>
            </w:r>
          </w:p>
        </w:tc>
        <w:tc>
          <w:tcPr>
            <w:tcW w:w="2985" w:type="dxa"/>
            <w:vAlign w:val="center"/>
          </w:tcPr>
          <w:p>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u w:val="none"/>
                <w:lang w:val="en-US" w:eastAsia="zh-CN"/>
              </w:rPr>
              <w:t>超融合平台资源池扩容项目</w:t>
            </w:r>
          </w:p>
        </w:tc>
        <w:tc>
          <w:tcPr>
            <w:tcW w:w="2985" w:type="dxa"/>
            <w:vAlign w:val="center"/>
          </w:tcPr>
          <w:p>
            <w:pPr>
              <w:jc w:val="center"/>
              <w:rPr>
                <w:rFonts w:hint="eastAsia" w:ascii="仿宋_GB2312" w:hAnsi="仿宋_GB2312" w:eastAsia="仿宋_GB2312" w:cs="仿宋_GB2312"/>
                <w:color w:val="auto"/>
                <w:sz w:val="32"/>
                <w:szCs w:val="32"/>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pStyle w:val="2"/>
        <w:rPr>
          <w:rFonts w:hint="eastAsia"/>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超融合平台资源池扩容项目要求</w:t>
      </w:r>
    </w:p>
    <w:p>
      <w:pPr>
        <w:numPr>
          <w:ilvl w:val="0"/>
          <w:numId w:val="0"/>
        </w:numPr>
        <w:ind w:firstLine="640"/>
        <w:rPr>
          <w:rFonts w:hint="eastAsia" w:ascii="仿宋_GB2312" w:hAnsi="仿宋_GB2312" w:eastAsia="仿宋_GB2312" w:cs="仿宋_GB2312"/>
          <w:sz w:val="24"/>
          <w:szCs w:val="24"/>
          <w:lang w:val="en-US" w:eastAsia="zh-CN"/>
        </w:rPr>
      </w:pPr>
    </w:p>
    <w:p>
      <w:pPr>
        <w:numPr>
          <w:ilvl w:val="0"/>
          <w:numId w:val="0"/>
        </w:numPr>
        <w:ind w:firstLine="64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一、资源池扩容</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资源池进行扩容，使超融合平台增加物理内存空间1920G；物理存储空间增加约180T，实际做安全冗余可用约90T。要求新增超融合环境及增加的存储内存资源需与医院现有超融合环境完全适配，通过统一的平台进行资源管理与分配。具体要求如下：</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1、把医院现有超融合平台资源池增加1个节点服务器资源，服务器要求规格：2U，CPU：不低于2颗Gold 6226R 2.9 GHz（16C），内存：不少于24*32GB DDR4 2933，系统盘：2*240GB SATA SSD，缓存盘：固态硬盘不少于960G-SSD (*4个)，数据盘：至少机械硬盘10T(*12个)，标配盘位数：12，电源：白金认证，冗余电源，接口：至少6千兆电口+2万兆光口，16G-HBA-光纤-双口(*1个)；</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2、对现有3台除HIS、EMR以外的其他业务集群进行内存、存储扩容，共计增加物理内存空间32GB DDR4 2933（*36条）即1152G；物理存储空间增加机械硬盘10T(*6个) 约60T。</w:t>
      </w:r>
    </w:p>
    <w:p>
      <w:pPr>
        <w:numPr>
          <w:ilvl w:val="0"/>
          <w:numId w:val="0"/>
        </w:numPr>
        <w:ind w:firstLine="64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二、版本升级及安全加固</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需要对现有超融合平台进行平台版本升级和安全加固。</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1、平台软件由HCI6.30升级到HCI6.80或以上，此项需停机冷升级，为保证稳定及兼容性需原厂提供此项服务。</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升级新版本之后需实现增以下功能：</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（１）支持配置流量镜像，支持虚拟网络内部流量镜像、虚拟网络流量镜像至物理网络、物理网口间流量镜像，满足用户安全审查、流量监控等场景。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（２）配置网络可视化，支持对业务虚拟机之间的访问关系进行可视化管理，直观查看应用之间的非法访问与故障情况。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（３）CLI命令行功能，通过脚本自动化实现大规模虚拟机的日常运维。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（４）支持纳管VMware vCenter7.0/7.0.1/7.0.2版本，满足VMware7.0用户纳管及迁移场景需求。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（５）支持承载VDI业务，部署虚拟桌面控制器VDC，基于HCI的虚拟化能力，为用户提供虚拟桌面，有效降低客户建设成本，提升整体方案的性能、可靠性，增强产品竞争力。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（６）支持对接交换机端口的LLDP协议，在界面可以看到对端交换机的网口号、MTU、TTL等信息，降低用户运维复杂度。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（７）支持网卡QoS上限限制，支持对单张网卡进行上/下行QoS设置，限制虚拟机网络带宽，保障核心业务虚拟机网络资源的供给能力。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（８）优化同集群、跨集群热迁移功能，在不影响业务运行（零宕机）的情况下，通过热迁移功能将业务系统迁移至其他主机或其他集群运行。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９）新增NTP服务、桌面云接入服务，两个服务端口管理能力，支持对接新特性的端口管理，满足客户合规性建设要求；优化告警设置功能：新增支持选择性屏蔽虚拟机告警，将用户认为不重要的虚拟机告警屏蔽掉；优化存储策略设置功能；</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（10）新增支持用户为存储卷配置默认存储策略，满足用户为特殊业务配置共用的默认存储策略的需求。</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2、增补虚拟机安全加固能力：</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本次采购部分为现有超融合平台的安全虚拟化模块的扩容，需保障新增安全虚拟化模块可以完美兼容现有超融合云管理平台，同时可以与现有的网络虚拟化、分布式防火墙进行联动。</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需提供14颗cpu的安全虚拟化模块软件授权，并带有至少三年的安全虚拟化规则库的免费更新与升级服务；</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保证云平台与安全能力能高度协同以达到最佳安全效果，安全虚拟化需提供同一品牌云安全中心并集成于内核中，无需跳转即可实现安全统一管理。云安全中心需同时提供主机安全防护能力与网络安全防护能力，包括但不仅限于内建终端检测响应，联动虚拟机拍摄快照，勒索病毒向导化处理，分布式七层防火墙以虚拟机为粒度开启入侵防护、虚拟补丁、WEB漏洞防护等能力。</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云平台需具备分布式七层网络攻击防护能力，支持以虚拟机为粒度，对指定虚拟机和批量虚拟机开启网络防护功能，且不因IP地址变更或迁移等情况导致安全能力失效。</w:t>
      </w:r>
    </w:p>
    <w:p>
      <w:pPr>
        <w:numPr>
          <w:ilvl w:val="0"/>
          <w:numId w:val="0"/>
        </w:numPr>
        <w:ind w:firstLine="64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三、其他注意事项</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1、本项目是对医院现有系统的扩容和升级，需要与现有系统完善匹配。想参与人员可提前联系医院，到医院详细了解现有超融合详细信息。</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项目需要超融合原厂人员进行技术支持，原厂人员需准备升级工具，如升级包、升级文档等，还需收集环境信息，如服务器IP地址、掩码等，进行升级包以及需进行升级前要进行升级前检查。在正式协助用户进行升级前一周，通过事先上门或远程连接的方式，先使用前置检测包检测客户环境是否满足升级条件，以方便后续的升级流程。在正式升级时，要进行升级前后的检查，升级前要确保环境无问题，在升级之后要确认平台升级无问题且需检验业务是否正常。</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4B534CB"/>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944459"/>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AF55F9"/>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5BC3567"/>
    <w:rsid w:val="5661187C"/>
    <w:rsid w:val="568E4B83"/>
    <w:rsid w:val="5712074C"/>
    <w:rsid w:val="5AFE414F"/>
    <w:rsid w:val="5C1E32DA"/>
    <w:rsid w:val="5C6309D2"/>
    <w:rsid w:val="5CEE3FCD"/>
    <w:rsid w:val="5D0A749E"/>
    <w:rsid w:val="5D9B7C91"/>
    <w:rsid w:val="5DA24171"/>
    <w:rsid w:val="5DD830E4"/>
    <w:rsid w:val="5EC42E35"/>
    <w:rsid w:val="601A6B19"/>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4031DC"/>
    <w:rsid w:val="6E955349"/>
    <w:rsid w:val="71E73A79"/>
    <w:rsid w:val="72DB2E88"/>
    <w:rsid w:val="735D5523"/>
    <w:rsid w:val="7641602D"/>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2023-10-31T03:44:44Z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