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LZ2023-36XX的超融合平台资源池扩容项目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医院超融合平台资源池扩容项目，主要内容见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《超融合平台资源池扩容项目要求》。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项目付款方式为验收合格之日起60日内支付总价款的90%，其他10%作为质保金于验收合格后一年内付清。</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2023年10月31日17:00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w:t>
      </w:r>
      <w:r>
        <w:rPr>
          <w:rFonts w:hint="eastAsia" w:ascii="仿宋_GB2312" w:eastAsia="仿宋_GB2312"/>
          <w:color w:val="auto"/>
          <w:sz w:val="32"/>
          <w:szCs w:val="32"/>
          <w:lang w:val="en-US" w:eastAsia="zh-CN"/>
        </w:rPr>
        <w:t>《报价单》3份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五）产品优势/服务方案与质量保障措施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的《产品优势/服务方案与质量保障措施》3份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bookmarkStart w:id="0" w:name="_GoBack"/>
      <w:bookmarkEnd w:id="0"/>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5.超融合平台资源池扩容项目要求</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2023年10月23日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u w:val="none"/>
                <w:lang w:val="en-US" w:eastAsia="zh-CN"/>
              </w:rPr>
              <w:t>超融合平台资源池扩容项目</w:t>
            </w:r>
          </w:p>
        </w:tc>
        <w:tc>
          <w:tcPr>
            <w:tcW w:w="2985" w:type="dxa"/>
            <w:vAlign w:val="center"/>
          </w:tcPr>
          <w:p>
            <w:pPr>
              <w:jc w:val="center"/>
              <w:rPr>
                <w:rFonts w:hint="eastAsia" w:ascii="仿宋_GB2312" w:hAnsi="仿宋_GB2312" w:eastAsia="仿宋_GB2312" w:cs="仿宋_GB2312"/>
                <w:color w:val="auto"/>
                <w:sz w:val="32"/>
                <w:szCs w:val="32"/>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pStyle w:val="2"/>
        <w:rPr>
          <w:rFonts w:hint="eastAsia"/>
          <w:lang w:val="en-US" w:eastAsia="zh-CN"/>
        </w:rPr>
      </w:pP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超融合平台资源池扩容项目要求</w:t>
      </w:r>
    </w:p>
    <w:p>
      <w:pPr>
        <w:numPr>
          <w:ilvl w:val="0"/>
          <w:numId w:val="0"/>
        </w:numPr>
        <w:ind w:firstLine="640"/>
        <w:rPr>
          <w:rFonts w:hint="eastAsia" w:ascii="仿宋_GB2312" w:hAnsi="仿宋_GB2312" w:eastAsia="仿宋_GB2312" w:cs="仿宋_GB2312"/>
          <w:sz w:val="24"/>
          <w:szCs w:val="24"/>
          <w:lang w:val="en-US" w:eastAsia="zh-CN"/>
        </w:rPr>
      </w:pP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一、资源池扩容</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对资源池进行扩容，使超融合平台增加物理内存空间1920G；物理存储空间增加约180T，实际做安全冗余可用约90T。要求新增超融合环境及增加的存储内存资源需与医院现有超融合环境完全适配，通过统一的平台进行资源管理与分配。具体要求如下：</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1、把医院现有超融合平台资源池增加1个节点服务器资源，服务器要求规格：2U，CPU：不低于2颗Gold 6226R 2.9 GHz（16C），内存：不少于24*32GB DDR4 2933，系统盘：2*240GB SATA SSD，缓存盘：固态硬盘不少于960G-SSD (*4个)，数据盘：至少机械硬盘10T(*12个)，标配盘位数：12，电源：白金认证，冗余电源，接口：至少6千兆电口+2万兆光口，16G-HBA-光纤-双口(*1个)；</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2、对现有3台除HIS、EMR以外的其他业务集群进行内存、存储扩容，共计增加物理内存空间32GB DDR4 2933（*36条）即1152G；物理存储空间增加机械硬盘10T(*6个) 约60T。</w:t>
      </w: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二、版本升级及安全加固</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需要对现有超融合平台进行平台版本升级和安全加固。</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1、平台软件由HCI6.30升级到HCI6.80或以上，此项需停机冷升级，为保证稳定及兼容性需原厂提供此项服务。</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升级新版本之后需实现增以下功能：</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（１）支持配置流量镜像，支持虚拟网络内部流量镜像、虚拟网络流量镜像至物理网络、物理网口间流量镜像，满足用户安全审查、流量监控等场景。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（２）配置网络可视化，支持对业务虚拟机之间的访问关系进行可视化管理，直观查看应用之间的非法访问与故障情况。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（３）CLI命令行功能，通过脚本自动化实现大规模虚拟机的日常运维。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（４）支持纳管VMware vCenter7.0/7.0.1/7.0.2版本，满足VMware7.0用户纳管及迁移场景需求。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（５）支持承载VDI业务，部署虚拟桌面控制器VDC，基于HCI的虚拟化能力，为用户提供虚拟桌面，有效降低客户建设成本，提升整体方案的性能、可靠性，增强产品竞争力。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（６）支持对接交换机端口的LLDP协议，在界面可以看到对端交换机的网口号、MTU、TTL等信息，降低用户运维复杂度。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（７）支持网卡QoS上限限制，支持对单张网卡进行上/下行QoS设置，限制虚拟机网络带宽，保障核心业务虚拟机网络资源的供给能力。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（８）优化同集群、跨集群热迁移功能，在不影响业务运行（零宕机）的情况下，通过热迁移功能将业务系统迁移至其他主机或其他集群运行。  </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９）新增NTP服务、桌面云接入服务，两个服务端口管理能力，支持对接新特性的端口管理，满足客户合规性建设要求；优化告警设置功能：新增支持选择性屏蔽虚拟机告警，将用户认为不重要的虚拟机告警屏蔽掉；优化存储策略设置功能；</w:t>
      </w:r>
    </w:p>
    <w:p>
      <w:pPr>
        <w:numPr>
          <w:ilvl w:val="0"/>
          <w:numId w:val="0"/>
        </w:num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（10）新增支持用户为存储卷配置默认存储策略，满足用户为特殊业务配置共用的默认存储策略的需求。</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2、增补虚拟机安全加固能力：</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本次采购部分为现有超融合平台的安全虚拟化模块的扩容，需保障新增安全虚拟化模块可以完美兼容现有超融合云管理平台，同时可以与现有的网络虚拟化、分布式防火墙进行联动。</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需提供14颗cpu的安全虚拟化模块软件授权，并带有至少三年的安全虚拟化规则库的免费更新与升级服务；</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保证云平台与安全能力能高度协同以达到最佳安全效果，安全虚拟化需提供同一品牌云安全中心并集成于内核中，无需跳转即可实现安全统一管理。云安全中心需同时提供主机安全防护能力与网络安全防护能力，包括但不仅限于内建终端检测响应，联动虚拟机拍摄快照，勒索病毒向导化处理，分布式七层防火墙以虚拟机为粒度开启入侵防护、虚拟补丁、WEB漏洞防护等能力。</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云平台需具备分布式七层网络攻击防护能力，支持以虚拟机为粒度，对指定虚拟机和批量虚拟机开启网络防护功能，且不因IP地址变更或迁移等情况导致安全能力失效。</w:t>
      </w:r>
    </w:p>
    <w:p>
      <w:pPr>
        <w:numPr>
          <w:ilvl w:val="0"/>
          <w:numId w:val="0"/>
        </w:numPr>
        <w:ind w:firstLine="64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三、其他注意事项</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1、本项目是对医院现有系统的扩容和升级，需要与现有系统完善匹配。想参与人员可提前联系医院，到医院详细了解现有超融合详细信息。</w:t>
      </w:r>
    </w:p>
    <w:p>
      <w:pPr>
        <w:numPr>
          <w:ilvl w:val="0"/>
          <w:numId w:val="0"/>
        </w:numPr>
        <w:ind w:firstLine="64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项目需要超融合原厂人员进行技术支持，原厂人员需准备升级工具，如升级包、升级文档等，还需收集环境信息，如服务器IP地址、掩码等，进行升级包以及需进行升级前要进行升级前检查。在正式协助用户进行升级前一周，通过事先上门或远程连接的方式，先使用前置检测包检测客户环境是否满足升级条件，以方便后续的升级流程。在正式升级时，要进行升级前后的检查，升级前要确保环境无问题，在升级之后要确认平台升级无问题且需检验业务是否正常。</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AF55F9"/>
    <w:rsid w:val="34B302E9"/>
    <w:rsid w:val="34B3356C"/>
    <w:rsid w:val="3507227E"/>
    <w:rsid w:val="35B14893"/>
    <w:rsid w:val="364C6A4B"/>
    <w:rsid w:val="378B19B6"/>
    <w:rsid w:val="37DB39C9"/>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5AB6F58"/>
    <w:rsid w:val="55BC3567"/>
    <w:rsid w:val="5661187C"/>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9252342"/>
    <w:rsid w:val="69CB420D"/>
    <w:rsid w:val="69D86BC2"/>
    <w:rsid w:val="6B870862"/>
    <w:rsid w:val="6BAB4EF0"/>
    <w:rsid w:val="6D373CB7"/>
    <w:rsid w:val="6DF6410C"/>
    <w:rsid w:val="6E955349"/>
    <w:rsid w:val="70924DD6"/>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2023-10-20T08:40:46Z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