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LZ2023-34YJ的药械临床试验技能培训与资质备案服务项目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2023年10月20日14:00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医院相关专业药械临床试验技能培训与资质备案服务。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先期开展精神心理专业药物与器械临床实验的技能培训与资质备案全过程服务。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在精神心理专业资质备案成功且业务基本成熟后，再开展神经内科等3～4个专业药物、骨科等2～3个专业器械的服务，其中开展药物与开展器械的专业有部分重复。</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2023年10月18日17:00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论证采取远程办公形式，签到和现场沟通使用电话或者办公软件联络方式。报名联系人和项目被授权人在论证当日</w:t>
      </w:r>
      <w:r>
        <w:rPr>
          <w:rFonts w:hint="eastAsia" w:ascii="仿宋_GB2312" w:hAnsi="仿宋_GB2312" w:eastAsia="仿宋_GB2312" w:cs="仿宋_GB2312"/>
          <w:sz w:val="32"/>
          <w:szCs w:val="32"/>
          <w:u w:val="single"/>
          <w:lang w:val="en-US" w:eastAsia="zh-CN"/>
        </w:rPr>
        <w:t>13:30～17:00</w:t>
      </w:r>
      <w:r>
        <w:rPr>
          <w:rFonts w:hint="eastAsia" w:ascii="仿宋_GB2312" w:hAnsi="仿宋_GB2312" w:eastAsia="仿宋_GB2312" w:cs="仿宋_GB2312"/>
          <w:sz w:val="32"/>
          <w:szCs w:val="32"/>
          <w:lang w:val="en-US" w:eastAsia="zh-CN"/>
        </w:rPr>
        <w:t>保持联系电话畅通。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2023年10月20日12:00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2023年10月10日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tbl>
      <w:tblPr>
        <w:tblStyle w:val="11"/>
        <w:tblpPr w:leftFromText="180" w:rightFromText="180" w:vertAnchor="page" w:horzAnchor="page" w:tblpX="1687" w:tblpY="3122"/>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54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分类</w:t>
            </w:r>
          </w:p>
        </w:tc>
        <w:tc>
          <w:tcPr>
            <w:tcW w:w="5490"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180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第一部分：精神心理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w:t>
            </w:r>
          </w:p>
        </w:tc>
        <w:tc>
          <w:tcPr>
            <w:tcW w:w="54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药物临床实验的技能培训与资质备案全过程服务</w:t>
            </w:r>
          </w:p>
        </w:tc>
        <w:tc>
          <w:tcPr>
            <w:tcW w:w="18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54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器械临床实验的技能培训与资质备案全过程服务</w:t>
            </w:r>
          </w:p>
        </w:tc>
        <w:tc>
          <w:tcPr>
            <w:tcW w:w="18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54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8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695" w:type="dxa"/>
            <w:gridSpan w:val="3"/>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vMerge w:val="restart"/>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第二部分：其他专业</w:t>
            </w:r>
          </w:p>
        </w:tc>
        <w:tc>
          <w:tcPr>
            <w:tcW w:w="54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每增加一个专业的药物临床实验的技能培训与资质备案全过程服务</w:t>
            </w:r>
          </w:p>
        </w:tc>
        <w:tc>
          <w:tcPr>
            <w:tcW w:w="18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54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每增加一个专业的器械临床实验的技能培训与资质备案全过程服务</w:t>
            </w:r>
          </w:p>
        </w:tc>
        <w:tc>
          <w:tcPr>
            <w:tcW w:w="18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pStyle w:val="5"/>
        <w:keepNext w:val="0"/>
        <w:keepLines w:val="0"/>
        <w:pageBreakBefore w:val="0"/>
        <w:widowControl w:val="0"/>
        <w:kinsoku/>
        <w:wordWrap w:val="0"/>
        <w:overflowPunct/>
        <w:topLinePunct w:val="0"/>
        <w:autoSpaceDE/>
        <w:autoSpaceDN/>
        <w:bidi w:val="0"/>
        <w:spacing w:line="520" w:lineRule="exact"/>
        <w:jc w:val="both"/>
        <w:textAlignment w:val="auto"/>
        <w:rPr>
          <w:rFonts w:hint="eastAsia" w:ascii="仿宋_GB2312" w:hAnsi="仿宋_GB2312" w:eastAsia="仿宋_GB2312" w:cs="仿宋_GB2312"/>
          <w:b/>
          <w:bCs w:val="0"/>
          <w:sz w:val="44"/>
          <w:szCs w:val="44"/>
          <w:lang w:val="en-US" w:eastAsia="zh-CN"/>
        </w:rPr>
      </w:pPr>
    </w:p>
    <w:p>
      <w:pPr>
        <w:jc w:val="both"/>
        <w:rPr>
          <w:rFonts w:hint="eastAsia"/>
          <w:lang w:val="en-US" w:eastAsia="zh-CN"/>
        </w:rPr>
      </w:pPr>
      <w:r>
        <w:rPr>
          <w:rFonts w:hint="eastAsia" w:ascii="仿宋_GB2312" w:hAnsi="仿宋_GB2312" w:eastAsia="仿宋_GB2312" w:cs="仿宋_GB2312"/>
          <w:sz w:val="32"/>
          <w:szCs w:val="32"/>
          <w:lang w:val="en-US" w:eastAsia="zh-CN"/>
        </w:rPr>
        <w:t>如第二部分可以将各个专业打包计算价格，可在此说明收费方案：</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4E67975"/>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617C3"/>
    <w:rsid w:val="29770FFA"/>
    <w:rsid w:val="29B47B51"/>
    <w:rsid w:val="2BC4525D"/>
    <w:rsid w:val="2BF70ED7"/>
    <w:rsid w:val="2C8D3362"/>
    <w:rsid w:val="2CF34CB0"/>
    <w:rsid w:val="2D067FF6"/>
    <w:rsid w:val="2D453ECC"/>
    <w:rsid w:val="2D5E259E"/>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9841D50"/>
    <w:rsid w:val="3AB050B1"/>
    <w:rsid w:val="3B8A4BB6"/>
    <w:rsid w:val="3BAA707A"/>
    <w:rsid w:val="3BE22435"/>
    <w:rsid w:val="3BE91C1D"/>
    <w:rsid w:val="3C274923"/>
    <w:rsid w:val="3C732980"/>
    <w:rsid w:val="3D4572EC"/>
    <w:rsid w:val="3E7F198B"/>
    <w:rsid w:val="40A34F94"/>
    <w:rsid w:val="40F724E5"/>
    <w:rsid w:val="43B1151D"/>
    <w:rsid w:val="43B62B93"/>
    <w:rsid w:val="453224E0"/>
    <w:rsid w:val="453C4CFD"/>
    <w:rsid w:val="45C97AD5"/>
    <w:rsid w:val="46561CC4"/>
    <w:rsid w:val="46F964AC"/>
    <w:rsid w:val="486C7417"/>
    <w:rsid w:val="4A306100"/>
    <w:rsid w:val="4B312183"/>
    <w:rsid w:val="4BA33756"/>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7DD704D"/>
    <w:rsid w:val="78080ACE"/>
    <w:rsid w:val="786067D4"/>
    <w:rsid w:val="790D0676"/>
    <w:rsid w:val="79370F44"/>
    <w:rsid w:val="7A9F7EA6"/>
    <w:rsid w:val="7BBD6CAF"/>
    <w:rsid w:val="7BF62302"/>
    <w:rsid w:val="7CDA444A"/>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2023-10-11T05:01:16Z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