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bookmarkStart w:id="0" w:name="_GoBack"/>
      <w:bookmarkEnd w:id="0"/>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编号LZ2022-43AG的消防管路维修服务项目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2022年12月23日14:30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医院消防泵房管路维修，具体包括对管路进行泄压和排水、拆除管路需要更换的设施、供货并安装4套DN50型号泄压阀和1套DN150型号铸钢止回阀</w:t>
      </w:r>
      <w:r>
        <w:rPr>
          <w:rFonts w:hint="eastAsia" w:eastAsia="仿宋_GB2312" w:cs="Times New Roman"/>
          <w:snapToGrid w:val="0"/>
          <w:kern w:val="0"/>
          <w:sz w:val="32"/>
          <w:szCs w:val="32"/>
          <w:lang w:val="en-US" w:eastAsia="zh-CN"/>
        </w:rPr>
        <w:t>（均含配套的法兰与螺栓</w:t>
      </w:r>
      <w:r>
        <w:rPr>
          <w:rFonts w:hint="eastAsia" w:ascii="仿宋_GB2312" w:hAnsi="仿宋_GB2312" w:eastAsia="仿宋_GB2312" w:cs="仿宋_GB2312"/>
          <w:color w:val="auto"/>
          <w:sz w:val="32"/>
          <w:szCs w:val="32"/>
          <w:u w:val="none"/>
          <w:lang w:val="en-US" w:eastAsia="zh-CN"/>
        </w:rPr>
        <w:t>、对维修后的管路进行补水和打压。</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2022年12月22日12:00</w:t>
      </w:r>
      <w:r>
        <w:rPr>
          <w:rFonts w:hint="eastAsia" w:ascii="仿宋_GB2312" w:hAnsi="仿宋_GB2312" w:eastAsia="仿宋_GB2312" w:cs="仿宋_GB2312"/>
          <w:sz w:val="32"/>
          <w:szCs w:val="32"/>
          <w:lang w:val="en-US" w:eastAsia="zh-CN"/>
        </w:rPr>
        <w:t>前派员持公司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复印件1份和手工填写的附件5《报名信息表》1份到医院招标办报名。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论证参照询价方式（一次报价）。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论证采取线上形式，签到和需要的现场沟通使用电话联络。项目被授权人和报名联系人在论证当天</w:t>
      </w:r>
      <w:r>
        <w:rPr>
          <w:rFonts w:hint="eastAsia" w:ascii="仿宋_GB2312" w:hAnsi="仿宋_GB2312" w:eastAsia="仿宋_GB2312" w:cs="仿宋_GB2312"/>
          <w:color w:val="auto"/>
          <w:sz w:val="32"/>
          <w:szCs w:val="32"/>
          <w:u w:val="single"/>
          <w:lang w:val="en-US" w:eastAsia="zh-CN"/>
        </w:rPr>
        <w:t>14:00至17:00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2022年12月23日12:00</w:t>
      </w:r>
      <w:r>
        <w:rPr>
          <w:rFonts w:hint="eastAsia" w:ascii="仿宋_GB2312" w:hAnsi="仿宋_GB2312" w:eastAsia="仿宋_GB2312" w:cs="仿宋_GB2312"/>
          <w:sz w:val="32"/>
          <w:szCs w:val="32"/>
          <w:lang w:val="en-US" w:eastAsia="zh-CN"/>
        </w:rPr>
        <w:t>前送达威海市立第三医院招标办，送达可以使用邮寄方式，收件信息：威海市齐鲁大道80号 威海市立第三医院 张卫强 138 6318 8799。</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四）产品/服务优势与质量保障措施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自定义格式A4纸反正面打印的《产品/服务优势与质量保障措施》4份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附件3格式的服务商《市场应用/对外服务情况表》4份（顺序为威海区域在前，其他区域在后，数量不超过20家）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联系人：张卫强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1"/>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4.报名信息表</w:t>
      </w:r>
    </w:p>
    <w:p>
      <w:pPr>
        <w:rPr>
          <w:rFonts w:hint="eastAsia" w:ascii="仿宋_GB2312" w:hAnsi="仿宋_GB2312" w:eastAsia="仿宋_GB2312" w:cs="仿宋_GB2312"/>
          <w:sz w:val="32"/>
          <w:szCs w:val="32"/>
          <w:lang w:val="en-US" w:eastAsia="zh-CN"/>
        </w:rPr>
      </w:pPr>
    </w:p>
    <w:p>
      <w:pPr>
        <w:pStyle w:val="2"/>
        <w:ind w:left="0" w:leftChars="0" w:firstLine="0" w:firstLineChars="0"/>
        <w:rPr>
          <w:rFonts w:hint="eastAsia"/>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2022年12月16日</w:t>
      </w:r>
      <w:r>
        <w:rPr>
          <w:rFonts w:hint="eastAsia" w:ascii="仿宋_GB2312" w:hAnsi="仿宋_GB2312" w:eastAsia="仿宋_GB2312" w:cs="仿宋_GB2312"/>
          <w:b w:val="0"/>
          <w:bCs w:val="0"/>
          <w:color w:val="auto"/>
          <w:sz w:val="32"/>
          <w:szCs w:val="32"/>
          <w:u w:val="single"/>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报价单1</w:t>
      </w:r>
    </w:p>
    <w:tbl>
      <w:tblPr>
        <w:tblStyle w:val="13"/>
        <w:tblpPr w:leftFromText="180" w:rightFromText="180" w:vertAnchor="page" w:horzAnchor="page" w:tblpX="1680" w:tblpY="3132"/>
        <w:tblOverlap w:val="never"/>
        <w:tblW w:w="8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305"/>
        <w:gridCol w:w="825"/>
        <w:gridCol w:w="930"/>
        <w:gridCol w:w="1200"/>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747"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名称</w:t>
            </w:r>
          </w:p>
        </w:tc>
        <w:tc>
          <w:tcPr>
            <w:tcW w:w="1305"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品牌</w:t>
            </w:r>
          </w:p>
        </w:tc>
        <w:tc>
          <w:tcPr>
            <w:tcW w:w="825"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单位</w:t>
            </w:r>
          </w:p>
        </w:tc>
        <w:tc>
          <w:tcPr>
            <w:tcW w:w="93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数量</w:t>
            </w:r>
          </w:p>
        </w:tc>
        <w:tc>
          <w:tcPr>
            <w:tcW w:w="120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价格</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（元）</w:t>
            </w:r>
          </w:p>
        </w:tc>
        <w:tc>
          <w:tcPr>
            <w:tcW w:w="1505"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金额</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747"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DN50铸铁泄压阀</w:t>
            </w:r>
          </w:p>
        </w:tc>
        <w:tc>
          <w:tcPr>
            <w:tcW w:w="130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82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套</w:t>
            </w:r>
          </w:p>
        </w:tc>
        <w:tc>
          <w:tcPr>
            <w:tcW w:w="93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20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c>
          <w:tcPr>
            <w:tcW w:w="1505"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747"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DN150铸钢止回阀</w:t>
            </w:r>
          </w:p>
        </w:tc>
        <w:tc>
          <w:tcPr>
            <w:tcW w:w="1305" w:type="dxa"/>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82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套</w:t>
            </w:r>
          </w:p>
        </w:tc>
        <w:tc>
          <w:tcPr>
            <w:tcW w:w="93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20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c>
          <w:tcPr>
            <w:tcW w:w="1505"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747" w:type="dxa"/>
            <w:noWrap w:val="0"/>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对管路进行泄压和排水、拆除原有并安装新换的设施对维修后的管路进行补水和打压的总费用。</w:t>
            </w:r>
          </w:p>
        </w:tc>
        <w:tc>
          <w:tcPr>
            <w:tcW w:w="130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82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93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20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c>
          <w:tcPr>
            <w:tcW w:w="1505"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07" w:type="dxa"/>
            <w:gridSpan w:val="5"/>
            <w:noWrap w:val="0"/>
            <w:vAlign w:val="center"/>
          </w:tcPr>
          <w:p>
            <w:pPr>
              <w:jc w:val="center"/>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vertAlign w:val="baseline"/>
                <w:lang w:val="en-US" w:eastAsia="zh-CN"/>
              </w:rPr>
              <w:t>合计金额（元）</w:t>
            </w:r>
          </w:p>
        </w:tc>
        <w:tc>
          <w:tcPr>
            <w:tcW w:w="1505" w:type="dxa"/>
            <w:noWrap w:val="0"/>
            <w:vAlign w:val="center"/>
          </w:tcPr>
          <w:p>
            <w:pPr>
              <w:jc w:val="center"/>
              <w:rPr>
                <w:rFonts w:hint="eastAsia" w:ascii="仿宋_GB2312" w:hAnsi="仿宋_GB2312" w:eastAsia="仿宋_GB2312" w:cs="仿宋_GB2312"/>
                <w:b/>
                <w:bCs/>
                <w:sz w:val="24"/>
                <w:szCs w:val="24"/>
                <w:u w:val="none"/>
                <w:vertAlign w:val="baseline"/>
                <w:lang w:val="en-US" w:eastAsia="zh-CN"/>
              </w:rPr>
            </w:pPr>
          </w:p>
        </w:tc>
      </w:tr>
    </w:tbl>
    <w:p>
      <w:pPr>
        <w:jc w:val="both"/>
        <w:rPr>
          <w:rFonts w:hint="eastAsia" w:ascii="仿宋_GB2312" w:hAnsi="仿宋_GB2312" w:eastAsia="仿宋_GB2312" w:cs="仿宋_GB2312"/>
          <w:sz w:val="21"/>
          <w:szCs w:val="21"/>
          <w:lang w:val="en-US" w:eastAsia="zh-CN"/>
        </w:rPr>
      </w:pPr>
    </w:p>
    <w:p>
      <w:pPr>
        <w:pStyle w:val="9"/>
        <w:rPr>
          <w:rFonts w:hint="eastAsia"/>
          <w:sz w:val="21"/>
          <w:szCs w:val="21"/>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对于报价的说明和必须满足的付款方式（如有）：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3"/>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2145EE5"/>
    <w:rsid w:val="0306783C"/>
    <w:rsid w:val="041012AE"/>
    <w:rsid w:val="04E36293"/>
    <w:rsid w:val="056E3308"/>
    <w:rsid w:val="06616A6F"/>
    <w:rsid w:val="06637264"/>
    <w:rsid w:val="06933336"/>
    <w:rsid w:val="072E50C6"/>
    <w:rsid w:val="0805587B"/>
    <w:rsid w:val="088966EE"/>
    <w:rsid w:val="08BB3ACD"/>
    <w:rsid w:val="08DC44A8"/>
    <w:rsid w:val="0A5B73EA"/>
    <w:rsid w:val="0A7105F0"/>
    <w:rsid w:val="0AE47B1E"/>
    <w:rsid w:val="0B50556E"/>
    <w:rsid w:val="0BC2087A"/>
    <w:rsid w:val="0C0E2D62"/>
    <w:rsid w:val="0CB72C72"/>
    <w:rsid w:val="0D0328AB"/>
    <w:rsid w:val="0E441926"/>
    <w:rsid w:val="0E5674D9"/>
    <w:rsid w:val="0EB466F8"/>
    <w:rsid w:val="0F4722FA"/>
    <w:rsid w:val="0FE867C1"/>
    <w:rsid w:val="0FFB437A"/>
    <w:rsid w:val="11147823"/>
    <w:rsid w:val="112A7A9F"/>
    <w:rsid w:val="125F6671"/>
    <w:rsid w:val="12ED60D3"/>
    <w:rsid w:val="15CF09FC"/>
    <w:rsid w:val="17450FC9"/>
    <w:rsid w:val="1753483A"/>
    <w:rsid w:val="176A27ED"/>
    <w:rsid w:val="17886E41"/>
    <w:rsid w:val="178F45DF"/>
    <w:rsid w:val="1940115E"/>
    <w:rsid w:val="19F52E2A"/>
    <w:rsid w:val="1A8A24E8"/>
    <w:rsid w:val="1C672275"/>
    <w:rsid w:val="1FF86EBC"/>
    <w:rsid w:val="209100DD"/>
    <w:rsid w:val="214573E3"/>
    <w:rsid w:val="21A437E9"/>
    <w:rsid w:val="21E03505"/>
    <w:rsid w:val="21F44340"/>
    <w:rsid w:val="23597745"/>
    <w:rsid w:val="24314357"/>
    <w:rsid w:val="24A3598F"/>
    <w:rsid w:val="27C129C2"/>
    <w:rsid w:val="28460323"/>
    <w:rsid w:val="297D10C1"/>
    <w:rsid w:val="29B47B51"/>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813353A"/>
    <w:rsid w:val="38541E24"/>
    <w:rsid w:val="39276138"/>
    <w:rsid w:val="3AA917C6"/>
    <w:rsid w:val="3AB050B1"/>
    <w:rsid w:val="3BE22435"/>
    <w:rsid w:val="3BE91C1D"/>
    <w:rsid w:val="3C274923"/>
    <w:rsid w:val="3C732980"/>
    <w:rsid w:val="3DCE5711"/>
    <w:rsid w:val="3E7F198B"/>
    <w:rsid w:val="40A34F94"/>
    <w:rsid w:val="40B04556"/>
    <w:rsid w:val="40F724E5"/>
    <w:rsid w:val="418330F5"/>
    <w:rsid w:val="453C4CFD"/>
    <w:rsid w:val="45C97AD5"/>
    <w:rsid w:val="46F964AC"/>
    <w:rsid w:val="4A306100"/>
    <w:rsid w:val="4E17470B"/>
    <w:rsid w:val="4E4E6FD0"/>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9C74DA"/>
    <w:rsid w:val="63CB7229"/>
    <w:rsid w:val="64F07963"/>
    <w:rsid w:val="66E05971"/>
    <w:rsid w:val="670B1023"/>
    <w:rsid w:val="67546B91"/>
    <w:rsid w:val="67782713"/>
    <w:rsid w:val="67F56292"/>
    <w:rsid w:val="691F65AA"/>
    <w:rsid w:val="69252342"/>
    <w:rsid w:val="69CB420D"/>
    <w:rsid w:val="69D86BC2"/>
    <w:rsid w:val="6A8A60CE"/>
    <w:rsid w:val="6B870862"/>
    <w:rsid w:val="6BAB4EF0"/>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90D0676"/>
    <w:rsid w:val="79370F44"/>
    <w:rsid w:val="7A9F7EA6"/>
    <w:rsid w:val="7B034F40"/>
    <w:rsid w:val="7BBD6CAF"/>
    <w:rsid w:val="7BF62302"/>
    <w:rsid w:val="7CDA444A"/>
    <w:rsid w:val="7E33156A"/>
    <w:rsid w:val="7ECA3EAC"/>
    <w:rsid w:val="7FB82230"/>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0"/>
    <w:pPr>
      <w:keepNext w:val="0"/>
      <w:keepLines w:val="0"/>
      <w:adjustRightInd w:val="0"/>
      <w:snapToGrid w:val="0"/>
      <w:spacing w:beforeLines="0" w:beforeAutospacing="0" w:afterLines="0" w:afterAutospacing="0" w:line="360" w:lineRule="auto"/>
      <w:jc w:val="center"/>
      <w:outlineLvl w:val="0"/>
    </w:pPr>
    <w:rPr>
      <w:rFonts w:eastAsia="方正小标宋简体" w:cs="方正小标宋简体"/>
      <w:sz w:val="44"/>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2023-01-10T03:05:28Z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