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编号LZ2022-27AG的电器火灾监控系统项目</w:t>
      </w:r>
      <w:r>
        <w:rPr>
          <w:rFonts w:hint="eastAsia" w:ascii="仿宋_GB2312" w:hAnsi="仿宋_GB2312" w:eastAsia="仿宋_GB2312" w:cs="仿宋_GB2312"/>
          <w:color w:val="auto"/>
          <w:sz w:val="32"/>
          <w:szCs w:val="32"/>
          <w:lang w:val="en-US" w:eastAsia="zh-CN"/>
        </w:rPr>
        <w:t>实施采购前二次综合论证，欢迎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2022年10月21日14:00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整体建筑内32个点位的电气火灾监控系统软硬件及配套服务，要求每点位使用无线方式将监控数据上传至第三方服务平台管理。每个点位的基本监控探测类型为温度+剩余电流，但为应对可能的变化，本函《报价单》中还要求对温度+故障电弧进行报价作为参考。</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本项目为涵盖设计、采购、施工、工程配套等在内的交钥匙工程。</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2022年10月20日12:00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论证采取远程办公形式，签到和需要的现场沟通使用电话联络方式。项目被授权人和报名联系人在论证当天13:30至17:00保持通信畅通。</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拟参加的供应商需要将“六、论证现场需要的资料”进行密封并于</w:t>
      </w:r>
      <w:r>
        <w:rPr>
          <w:rFonts w:hint="eastAsia" w:ascii="仿宋_GB2312" w:hAnsi="仿宋_GB2312" w:eastAsia="仿宋_GB2312" w:cs="仿宋_GB2312"/>
          <w:color w:val="auto"/>
          <w:sz w:val="32"/>
          <w:szCs w:val="32"/>
          <w:u w:val="single"/>
          <w:lang w:val="en-US" w:eastAsia="zh-CN"/>
        </w:rPr>
        <w:t>2022年10月21日12：00</w:t>
      </w:r>
      <w:r>
        <w:rPr>
          <w:rFonts w:hint="eastAsia" w:ascii="仿宋_GB2312" w:hAnsi="仿宋_GB2312" w:eastAsia="仿宋_GB2312" w:cs="仿宋_GB2312"/>
          <w:color w:val="auto"/>
          <w:sz w:val="32"/>
          <w:szCs w:val="32"/>
          <w:u w:val="none"/>
          <w:lang w:val="en-US" w:eastAsia="zh-CN"/>
        </w:rPr>
        <w:t>前送达威海市立第三医院招标办王博，送达可以使用邮寄方式，收件信息：威海市齐鲁大道80号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自定义格式的《报价单》4份，写明必须满足的付款方式（如有）</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0"/>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2022年10月13日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w:t>
      </w:r>
    </w:p>
    <w:p>
      <w:pPr>
        <w:pStyle w:val="2"/>
        <w:rPr>
          <w:rFonts w:hint="eastAsia" w:ascii="方正小标宋简体" w:hAnsi="方正小标宋简体" w:eastAsia="方正小标宋简体" w:cs="方正小标宋简体"/>
          <w:color w:val="auto"/>
          <w:sz w:val="44"/>
          <w:szCs w:val="44"/>
          <w:lang w:val="en-US" w:eastAsia="zh-CN"/>
        </w:rPr>
      </w:pPr>
    </w:p>
    <w:tbl>
      <w:tblPr>
        <w:tblStyle w:val="12"/>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265"/>
        <w:gridCol w:w="780"/>
        <w:gridCol w:w="930"/>
        <w:gridCol w:w="138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43"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名称</w:t>
            </w:r>
          </w:p>
        </w:tc>
        <w:tc>
          <w:tcPr>
            <w:tcW w:w="2265"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基本要求</w:t>
            </w:r>
          </w:p>
        </w:tc>
        <w:tc>
          <w:tcPr>
            <w:tcW w:w="78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数量</w:t>
            </w:r>
          </w:p>
        </w:tc>
        <w:tc>
          <w:tcPr>
            <w:tcW w:w="93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单位</w:t>
            </w:r>
          </w:p>
        </w:tc>
        <w:tc>
          <w:tcPr>
            <w:tcW w:w="138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价格（元）</w:t>
            </w:r>
          </w:p>
        </w:tc>
        <w:tc>
          <w:tcPr>
            <w:tcW w:w="1316"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43"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电器火灾监控系统监控点</w:t>
            </w:r>
          </w:p>
        </w:tc>
        <w:tc>
          <w:tcPr>
            <w:tcW w:w="2265"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探测器类型必须包括温度+剩余电流</w:t>
            </w:r>
          </w:p>
        </w:tc>
        <w:tc>
          <w:tcPr>
            <w:tcW w:w="78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32</w:t>
            </w:r>
          </w:p>
        </w:tc>
        <w:tc>
          <w:tcPr>
            <w:tcW w:w="93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点位</w:t>
            </w:r>
          </w:p>
        </w:tc>
        <w:tc>
          <w:tcPr>
            <w:tcW w:w="138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p>
        </w:tc>
        <w:tc>
          <w:tcPr>
            <w:tcW w:w="1316"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43"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第三方服务平台费用</w:t>
            </w:r>
          </w:p>
        </w:tc>
        <w:tc>
          <w:tcPr>
            <w:tcW w:w="2265"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包括数据传输费+平台服务费</w:t>
            </w:r>
          </w:p>
        </w:tc>
        <w:tc>
          <w:tcPr>
            <w:tcW w:w="78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93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年度</w:t>
            </w:r>
          </w:p>
        </w:tc>
        <w:tc>
          <w:tcPr>
            <w:tcW w:w="1380"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p>
        </w:tc>
        <w:tc>
          <w:tcPr>
            <w:tcW w:w="1316" w:type="dxa"/>
            <w:vAlign w:val="center"/>
          </w:tcPr>
          <w:p>
            <w:pPr>
              <w:pStyle w:val="2"/>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98" w:type="dxa"/>
            <w:gridSpan w:val="5"/>
            <w:vAlign w:val="center"/>
          </w:tcPr>
          <w:p>
            <w:pPr>
              <w:pStyle w:val="2"/>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合计金额（元）</w:t>
            </w:r>
          </w:p>
        </w:tc>
        <w:tc>
          <w:tcPr>
            <w:tcW w:w="1316" w:type="dxa"/>
            <w:vAlign w:val="center"/>
          </w:tcPr>
          <w:p>
            <w:pPr>
              <w:pStyle w:val="2"/>
              <w:jc w:val="center"/>
              <w:rPr>
                <w:rFonts w:hint="eastAsia" w:ascii="仿宋_GB2312" w:hAnsi="仿宋_GB2312" w:eastAsia="仿宋_GB2312" w:cs="仿宋_GB2312"/>
                <w:b/>
                <w:bCs/>
                <w:color w:val="auto"/>
                <w:sz w:val="24"/>
                <w:szCs w:val="24"/>
                <w:vertAlign w:val="baseline"/>
                <w:lang w:val="en-US" w:eastAsia="zh-CN"/>
              </w:rPr>
            </w:pPr>
          </w:p>
        </w:tc>
      </w:tr>
    </w:tbl>
    <w:p>
      <w:pPr>
        <w:pStyle w:val="2"/>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如监测点位使用温度+故障电弧探测器，则每个点位的单价为：</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2"/>
        <w:rPr>
          <w:rFonts w:hint="eastAsia" w:ascii="方正小标宋简体" w:hAnsi="方正小标宋简体" w:eastAsia="方正小标宋简体" w:cs="方正小标宋简体"/>
          <w:color w:val="auto"/>
          <w:sz w:val="44"/>
          <w:szCs w:val="44"/>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对外服务情况表</w:t>
      </w:r>
    </w:p>
    <w:p>
      <w:pPr>
        <w:jc w:val="center"/>
        <w:rPr>
          <w:rFonts w:hint="eastAsia" w:ascii="仿宋_GB2312" w:hAnsi="仿宋_GB2312" w:eastAsia="仿宋_GB2312" w:cs="仿宋_GB2312"/>
          <w:b/>
          <w:bCs/>
          <w:sz w:val="24"/>
          <w:szCs w:val="24"/>
          <w:lang w:val="en-US" w:eastAsia="zh-CN"/>
        </w:rPr>
      </w:pP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7"/>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9FB6A6E"/>
    <w:rsid w:val="0A5B73EA"/>
    <w:rsid w:val="0A7105F0"/>
    <w:rsid w:val="0AE47B1E"/>
    <w:rsid w:val="0B50556E"/>
    <w:rsid w:val="0BC2087A"/>
    <w:rsid w:val="0C0E2D62"/>
    <w:rsid w:val="0D0328AB"/>
    <w:rsid w:val="0D0D511E"/>
    <w:rsid w:val="0E441926"/>
    <w:rsid w:val="0E5674D9"/>
    <w:rsid w:val="0EB466F8"/>
    <w:rsid w:val="0F4722FA"/>
    <w:rsid w:val="0FE867C1"/>
    <w:rsid w:val="0FFB437A"/>
    <w:rsid w:val="11147823"/>
    <w:rsid w:val="112A7A9F"/>
    <w:rsid w:val="125F6671"/>
    <w:rsid w:val="15065059"/>
    <w:rsid w:val="15CF09FC"/>
    <w:rsid w:val="17450FC9"/>
    <w:rsid w:val="1753483A"/>
    <w:rsid w:val="178F45DF"/>
    <w:rsid w:val="1940115E"/>
    <w:rsid w:val="19F52E2A"/>
    <w:rsid w:val="1A1F005F"/>
    <w:rsid w:val="1A8A24E8"/>
    <w:rsid w:val="1AB807D8"/>
    <w:rsid w:val="1FF86EBC"/>
    <w:rsid w:val="209100DD"/>
    <w:rsid w:val="21A437E9"/>
    <w:rsid w:val="21E03505"/>
    <w:rsid w:val="23597745"/>
    <w:rsid w:val="24314357"/>
    <w:rsid w:val="27C129C2"/>
    <w:rsid w:val="28460323"/>
    <w:rsid w:val="29B47B51"/>
    <w:rsid w:val="2BA815EB"/>
    <w:rsid w:val="2BC4525D"/>
    <w:rsid w:val="2BF70ED7"/>
    <w:rsid w:val="2D067FF6"/>
    <w:rsid w:val="2D453ECC"/>
    <w:rsid w:val="2DAA36BF"/>
    <w:rsid w:val="2E127BEC"/>
    <w:rsid w:val="2ED737AD"/>
    <w:rsid w:val="30BA749B"/>
    <w:rsid w:val="326C6156"/>
    <w:rsid w:val="32EB18B3"/>
    <w:rsid w:val="33297018"/>
    <w:rsid w:val="33B8159B"/>
    <w:rsid w:val="33DD3CC2"/>
    <w:rsid w:val="349D7AB3"/>
    <w:rsid w:val="3507227E"/>
    <w:rsid w:val="35677065"/>
    <w:rsid w:val="35B14893"/>
    <w:rsid w:val="364C6A4B"/>
    <w:rsid w:val="378B19B6"/>
    <w:rsid w:val="3AB050B1"/>
    <w:rsid w:val="3BE22435"/>
    <w:rsid w:val="3BE91C1D"/>
    <w:rsid w:val="3C274923"/>
    <w:rsid w:val="3C732980"/>
    <w:rsid w:val="3E7F198B"/>
    <w:rsid w:val="40A34F94"/>
    <w:rsid w:val="40F724E5"/>
    <w:rsid w:val="453C2EB5"/>
    <w:rsid w:val="453C4CFD"/>
    <w:rsid w:val="45C97AD5"/>
    <w:rsid w:val="46F964AC"/>
    <w:rsid w:val="4A306100"/>
    <w:rsid w:val="4A70034B"/>
    <w:rsid w:val="4C0276EC"/>
    <w:rsid w:val="4E17470B"/>
    <w:rsid w:val="501713DB"/>
    <w:rsid w:val="5026344A"/>
    <w:rsid w:val="5037594C"/>
    <w:rsid w:val="51491C22"/>
    <w:rsid w:val="518542D3"/>
    <w:rsid w:val="518E7743"/>
    <w:rsid w:val="51965E4E"/>
    <w:rsid w:val="51F17CF9"/>
    <w:rsid w:val="51FE2564"/>
    <w:rsid w:val="528D6E2B"/>
    <w:rsid w:val="53635859"/>
    <w:rsid w:val="54571857"/>
    <w:rsid w:val="54AF3AFE"/>
    <w:rsid w:val="54B35F20"/>
    <w:rsid w:val="55223F2F"/>
    <w:rsid w:val="5712074C"/>
    <w:rsid w:val="59607C41"/>
    <w:rsid w:val="5AFE414F"/>
    <w:rsid w:val="5C1E32DA"/>
    <w:rsid w:val="5C2549CD"/>
    <w:rsid w:val="5C6309D2"/>
    <w:rsid w:val="5CEE3FCD"/>
    <w:rsid w:val="5D0A749E"/>
    <w:rsid w:val="5D9B7C91"/>
    <w:rsid w:val="5DA24171"/>
    <w:rsid w:val="5EC42E35"/>
    <w:rsid w:val="618A062A"/>
    <w:rsid w:val="639C74DA"/>
    <w:rsid w:val="63CB7229"/>
    <w:rsid w:val="64CC686A"/>
    <w:rsid w:val="64F07963"/>
    <w:rsid w:val="65DF24B7"/>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BD6CAF"/>
    <w:rsid w:val="7BF62302"/>
    <w:rsid w:val="7CDA444A"/>
    <w:rsid w:val="7E33156A"/>
    <w:rsid w:val="7ECA3EAC"/>
    <w:rsid w:val="7F762579"/>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4">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Body Text First Indent 2"/>
    <w:basedOn w:val="4"/>
    <w:next w:val="1"/>
    <w:qFormat/>
    <w:uiPriority w:val="0"/>
    <w:pPr>
      <w:ind w:firstLine="420" w:firstLineChars="200"/>
    </w:p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2022-10-17T06:14:58Z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