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编号LZ2021-28ZW的发热哨点等候室工程项目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2021年12月2日14:00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医院发热哨点等候室，具体工程量与要求见附件2《报价单》和附件4《工程简图》。</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2021年12月1日12:00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通过与供应商进行沟通与谈判，掌握相关产品与服务的质量层次、价格水平、配置方案、保障体系、市场应用等相关信息，为未来实施采购提供质量与服务标准、价格上限等依据。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论证参照竞争性蹉商的方式。现场谈判的顺序按照报名的先后顺序反向进行。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本函涉及的所有产品与材料应当使用符合国家标准的市场主流品牌。除单独标明外，《报价单》中的单价均为包括材料费、人工费、税费等在内的综合单价。</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四）服务与质量保障方案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自定义格式共计不超过2张A4纸反正面打印的《服务方案与质量保障措施》4份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五）公司业绩</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附件3格式的供应商《对外服务情况表》4份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罗列的顺序为威海区域在前，其他区域在后，罗列的数量不超过20家。</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长尾夹（首选）或拉杆夹固定。</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（六）供应商实力佐证材料</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如有，可提供不超过3种的证书或者其他单页材料复印件各1份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3.对外服务情况表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2021年11月27日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1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报价单</w:t>
      </w:r>
    </w:p>
    <w:tbl>
      <w:tblPr>
        <w:tblStyle w:val="9"/>
        <w:tblW w:w="8725" w:type="dxa"/>
        <w:tblInd w:w="0" w:type="dxa"/>
        <w:shd w:val="clear" w:color="auto" w:fill="auto"/>
        <w:tblLayout w:type="fixed"/>
        <w:tblCellMar>
          <w:top w:w="0" w:type="dxa"/>
          <w:left w:w="0" w:type="dxa"/>
          <w:bottom w:w="0" w:type="dxa"/>
          <w:right w:w="0" w:type="dxa"/>
        </w:tblCellMar>
      </w:tblPr>
      <w:tblGrid>
        <w:gridCol w:w="583"/>
        <w:gridCol w:w="2040"/>
        <w:gridCol w:w="930"/>
        <w:gridCol w:w="960"/>
        <w:gridCol w:w="855"/>
        <w:gridCol w:w="870"/>
        <w:gridCol w:w="2487"/>
      </w:tblGrid>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估算</w:t>
            </w:r>
          </w:p>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工程量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单价</w:t>
            </w:r>
          </w:p>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金额</w:t>
            </w:r>
          </w:p>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高300mm-500mm</w:t>
            </w:r>
          </w:p>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*宽240mm基础墙</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lang w:val="en-US" w:eastAsia="zh-CN"/>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机制红砖，水泥砂浆1:3比例砌筑。</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基础回填</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47.19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地面建筑垃圾垃圾回填。</w:t>
            </w:r>
          </w:p>
        </w:tc>
      </w:tr>
      <w:tr>
        <w:tblPrEx>
          <w:shd w:val="clear" w:color="auto" w:fill="auto"/>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地面硬化</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47.19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C15商混垫层8cm厚找平。</w:t>
            </w:r>
          </w:p>
        </w:tc>
      </w:tr>
      <w:tr>
        <w:tblPrEx>
          <w:shd w:val="clear" w:color="auto" w:fill="auto"/>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50*50镀锌方通框架</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67.21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镀锌50*50*2.5方通框架焊接。</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地面瓷砖铺贴</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47.19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水泥砂浆1:3比例搅拌均匀人工铺贴。</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75mm岩棉彩钢复合板</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定制符合消防要求的75mm岩棉彩钢复合板。</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50mm岩棉瓦板</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49.33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订制符合消防要求的50mm岩棉瓦板。</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75凹形收口条</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102.00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定制75mm凹形收口条，拉铆钉安装。</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踢脚线粘贴</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34.30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水泥砂浆1:3比例人工粘贴。</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穿线管铺设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46.90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专用20pvc阻燃穿线管人工铺设。</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auto"/>
                <w:sz w:val="24"/>
                <w:szCs w:val="24"/>
                <w:u w:val="none"/>
              </w:rPr>
            </w:pPr>
            <w:r>
              <w:rPr>
                <w:rStyle w:val="13"/>
                <w:rFonts w:hint="eastAsia" w:ascii="仿宋_GB2312" w:hAnsi="仿宋_GB2312" w:eastAsia="仿宋_GB2312" w:cs="仿宋_GB2312"/>
                <w:color w:val="auto"/>
                <w:lang w:val="en-US" w:eastAsia="zh-CN" w:bidi="ar"/>
              </w:rPr>
              <w:t>国标BV2.5</w:t>
            </w:r>
            <w:r>
              <w:rPr>
                <w:rStyle w:val="11"/>
                <w:rFonts w:hint="eastAsia" w:ascii="仿宋_GB2312" w:hAnsi="仿宋_GB2312" w:eastAsia="仿宋_GB2312" w:cs="仿宋_GB2312"/>
                <w:color w:val="auto"/>
                <w:lang w:val="en-US" w:eastAsia="zh-CN" w:bidi="ar"/>
              </w:rPr>
              <w:t>㎡阻燃铜线铺设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18.30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国标ZRBV2.5㎡阻燃铜线人工铺设</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国标BV4㎡阻燃铜线铺设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国标ZRBV4㎡阻燃铜线人工铺设</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800*800通体瓷瓷砖</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47.19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800*800通体瓷瓷砖。</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踢脚线</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34.30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踢脚线。</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过门石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800*800通体瓷深色瓷砖。</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铝合金推拉窗</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33.44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灰色76铝合金推拉窗含金刚网。</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铝合金平开门</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灰色76铝合金平开门，不足2平方按2平方计算。</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3P空调</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空调（包括空调专用空气开关）。</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空调移机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包括铜管等辅料及人工费。</w:t>
            </w:r>
          </w:p>
        </w:tc>
      </w:tr>
      <w:tr>
        <w:tblPrEx>
          <w:shd w:val="clear" w:color="auto" w:fill="auto"/>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插座</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品牌插座。</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品牌开关。</w:t>
            </w:r>
          </w:p>
        </w:tc>
      </w:tr>
      <w:tr>
        <w:tblPrEx>
          <w:tblLayout w:type="fixed"/>
          <w:tblCellMar>
            <w:top w:w="0" w:type="dxa"/>
            <w:left w:w="0" w:type="dxa"/>
            <w:bottom w:w="0" w:type="dxa"/>
            <w:right w:w="0"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LED照明</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品牌24WLED吸顶灯。</w:t>
            </w:r>
          </w:p>
        </w:tc>
      </w:tr>
      <w:tr>
        <w:tblPrEx>
          <w:tblLayout w:type="fixed"/>
          <w:tblCellMar>
            <w:top w:w="0" w:type="dxa"/>
            <w:left w:w="0" w:type="dxa"/>
            <w:bottom w:w="0" w:type="dxa"/>
            <w:right w:w="0" w:type="dxa"/>
          </w:tblCellMar>
        </w:tblPrEx>
        <w:trPr>
          <w:trHeight w:val="567" w:hRule="atLeast"/>
        </w:trPr>
        <w:tc>
          <w:tcPr>
            <w:tcW w:w="53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bCs/>
                <w:i w:val="0"/>
                <w:color w:val="000000"/>
                <w:sz w:val="24"/>
                <w:szCs w:val="24"/>
                <w:u w:val="none"/>
                <w:lang w:val="en-US"/>
              </w:rPr>
            </w:pPr>
            <w:r>
              <w:rPr>
                <w:rFonts w:hint="eastAsia" w:ascii="仿宋_GB2312" w:hAnsi="仿宋_GB2312" w:eastAsia="仿宋_GB2312" w:cs="仿宋_GB2312"/>
                <w:b/>
                <w:bCs/>
                <w:i w:val="0"/>
                <w:color w:val="000000"/>
                <w:kern w:val="0"/>
                <w:sz w:val="24"/>
                <w:szCs w:val="24"/>
                <w:u w:val="none"/>
                <w:lang w:val="en-US" w:eastAsia="zh-CN" w:bidi="ar"/>
              </w:rPr>
              <w:t>合计金额（元）</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bCs/>
                <w:i w:val="0"/>
                <w:color w:val="000000"/>
                <w:sz w:val="24"/>
                <w:szCs w:val="24"/>
                <w:u w:val="none"/>
                <w:lang w:val="en-US" w:eastAsia="zh-CN"/>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b/>
                <w:bCs/>
                <w:i w:val="0"/>
                <w:color w:val="000000"/>
                <w:sz w:val="24"/>
                <w:szCs w:val="24"/>
                <w:u w:val="none"/>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注：以上标注有品牌的应当标明具体品牌</w:t>
      </w:r>
    </w:p>
    <w:p>
      <w:pPr>
        <w:pStyle w:val="4"/>
        <w:keepNext w:val="0"/>
        <w:keepLines w:val="0"/>
        <w:pageBreakBefore w:val="0"/>
        <w:widowControl w:val="0"/>
        <w:kinsoku/>
        <w:wordWrap w:val="0"/>
        <w:overflowPunct/>
        <w:topLinePunct w:val="0"/>
        <w:autoSpaceDE/>
        <w:autoSpaceDN/>
        <w:bidi w:val="0"/>
        <w:spacing w:line="520" w:lineRule="exact"/>
        <w:jc w:val="both"/>
        <w:textAlignment w:val="auto"/>
        <w:rPr>
          <w:rFonts w:hint="eastAsia" w:ascii="仿宋_GB2312" w:hAnsi="仿宋_GB2312" w:eastAsia="仿宋_GB2312" w:cs="仿宋_GB2312"/>
          <w:b/>
          <w:bCs w:val="0"/>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服务商承诺的工程质保期和对于付款方式的要求：</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pStyle w:val="4"/>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7"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对外服务情况表</w:t>
      </w:r>
    </w:p>
    <w:tbl>
      <w:tblPr>
        <w:tblStyle w:val="10"/>
        <w:tblpPr w:leftFromText="180" w:rightFromText="180" w:vertAnchor="text" w:horzAnchor="page" w:tblpX="1697" w:tblpY="146"/>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958"/>
        <w:gridCol w:w="1260"/>
        <w:gridCol w:w="151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95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服务单位</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5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21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pStyle w:val="2"/>
        <w:rPr>
          <w:rFonts w:hint="eastAsia"/>
          <w:lang w:val="en-US" w:eastAsia="zh-CN"/>
        </w:rPr>
        <w:sectPr>
          <w:pgSz w:w="11906" w:h="16838"/>
          <w:pgMar w:top="1440" w:right="1803" w:bottom="1440" w:left="1803" w:header="851" w:footer="992" w:gutter="0"/>
          <w:cols w:space="0" w:num="1"/>
          <w:rtlGutter w:val="0"/>
          <w:docGrid w:type="lines" w:linePitch="319" w:charSpace="0"/>
        </w:sectPr>
      </w:pPr>
    </w:p>
    <w:p>
      <w:pPr>
        <w:rPr>
          <w:rFonts w:hint="eastAsia"/>
          <w:b/>
          <w:bCs/>
          <w:lang w:eastAsia="zh-CN"/>
        </w:rPr>
      </w:pPr>
      <w:r>
        <w:rPr>
          <w:rFonts w:hint="eastAsia" w:ascii="仿宋_GB2312" w:hAnsi="仿宋_GB2312" w:eastAsia="仿宋_GB2312" w:cs="仿宋_GB2312"/>
          <w:b w:val="0"/>
          <w:bCs/>
          <w:sz w:val="32"/>
          <w:szCs w:val="32"/>
          <w:lang w:val="en-US" w:eastAsia="zh-CN"/>
        </w:rPr>
        <w:t>附件4</w:t>
      </w:r>
      <w:bookmarkStart w:id="0" w:name="_GoBack"/>
      <w:bookmarkEnd w:id="0"/>
    </w:p>
    <w:p>
      <w:pPr>
        <w:jc w:val="center"/>
      </w:pPr>
      <w:r>
        <w:rPr>
          <w:rFonts w:hint="eastAsia"/>
          <w:b/>
          <w:bCs/>
          <w:lang w:eastAsia="zh-CN"/>
        </w:rPr>
        <w:t>发热门诊立面结构图</w:t>
      </w:r>
      <w:r>
        <w:drawing>
          <wp:inline distT="0" distB="0" distL="114300" distR="114300">
            <wp:extent cx="9519920" cy="4241800"/>
            <wp:effectExtent l="0" t="0" r="508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19920" cy="4241800"/>
                    </a:xfrm>
                    <a:prstGeom prst="rect">
                      <a:avLst/>
                    </a:prstGeom>
                    <a:noFill/>
                    <a:ln w="9525">
                      <a:noFill/>
                    </a:ln>
                  </pic:spPr>
                </pic:pic>
              </a:graphicData>
            </a:graphic>
          </wp:inline>
        </w:drawing>
      </w:r>
    </w:p>
    <w:p/>
    <w:p/>
    <w:p/>
    <w:p>
      <w:pPr>
        <w:jc w:val="center"/>
        <w:rPr>
          <w:rFonts w:hint="eastAsia" w:eastAsia="宋体"/>
          <w:b/>
          <w:bCs/>
          <w:lang w:eastAsia="zh-CN"/>
        </w:rPr>
      </w:pPr>
      <w:r>
        <w:rPr>
          <w:rFonts w:hint="eastAsia"/>
          <w:b/>
          <w:bCs/>
          <w:lang w:eastAsia="zh-CN"/>
        </w:rPr>
        <w:t>发热门诊平面结构图</w:t>
      </w:r>
    </w:p>
    <w:p>
      <w:pPr>
        <w:rPr>
          <w:rFonts w:hint="eastAsia"/>
          <w:lang w:val="en-US" w:eastAsia="zh-CN"/>
        </w:rPr>
      </w:pPr>
      <w:r>
        <w:drawing>
          <wp:inline distT="0" distB="0" distL="114300" distR="114300">
            <wp:extent cx="8855075" cy="4834890"/>
            <wp:effectExtent l="0" t="0" r="317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855075" cy="4834890"/>
                    </a:xfrm>
                    <a:prstGeom prst="rect">
                      <a:avLst/>
                    </a:prstGeom>
                    <a:noFill/>
                    <a:ln w="9525">
                      <a:noFill/>
                    </a:ln>
                  </pic:spPr>
                </pic:pic>
              </a:graphicData>
            </a:graphic>
          </wp:inline>
        </w:drawing>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6783C"/>
    <w:rsid w:val="041012AE"/>
    <w:rsid w:val="056E3308"/>
    <w:rsid w:val="06616A6F"/>
    <w:rsid w:val="06637264"/>
    <w:rsid w:val="0A5B73EA"/>
    <w:rsid w:val="0A7105F0"/>
    <w:rsid w:val="0B50556E"/>
    <w:rsid w:val="0BC2087A"/>
    <w:rsid w:val="0C0E2D62"/>
    <w:rsid w:val="0E441926"/>
    <w:rsid w:val="0E5674D9"/>
    <w:rsid w:val="0EB466F8"/>
    <w:rsid w:val="0FE867C1"/>
    <w:rsid w:val="0FFB437A"/>
    <w:rsid w:val="112A7A9F"/>
    <w:rsid w:val="125F6671"/>
    <w:rsid w:val="19F52E2A"/>
    <w:rsid w:val="209100DD"/>
    <w:rsid w:val="21E03505"/>
    <w:rsid w:val="23597745"/>
    <w:rsid w:val="27C129C2"/>
    <w:rsid w:val="28460323"/>
    <w:rsid w:val="29B47B51"/>
    <w:rsid w:val="2BC4525D"/>
    <w:rsid w:val="2BF70ED7"/>
    <w:rsid w:val="2D453ECC"/>
    <w:rsid w:val="2E127BEC"/>
    <w:rsid w:val="2ED737AD"/>
    <w:rsid w:val="32EB18B3"/>
    <w:rsid w:val="33B8159B"/>
    <w:rsid w:val="33DD3CC2"/>
    <w:rsid w:val="3507227E"/>
    <w:rsid w:val="35B14893"/>
    <w:rsid w:val="364C6A4B"/>
    <w:rsid w:val="378B19B6"/>
    <w:rsid w:val="3AB050B1"/>
    <w:rsid w:val="3BE22435"/>
    <w:rsid w:val="3C732980"/>
    <w:rsid w:val="3E7F198B"/>
    <w:rsid w:val="40A34F94"/>
    <w:rsid w:val="453C4CFD"/>
    <w:rsid w:val="46F964AC"/>
    <w:rsid w:val="501713DB"/>
    <w:rsid w:val="5026344A"/>
    <w:rsid w:val="5037594C"/>
    <w:rsid w:val="51491C22"/>
    <w:rsid w:val="518542D3"/>
    <w:rsid w:val="518E7743"/>
    <w:rsid w:val="51965E4E"/>
    <w:rsid w:val="51F17CF9"/>
    <w:rsid w:val="51FE2564"/>
    <w:rsid w:val="528D6E2B"/>
    <w:rsid w:val="54571857"/>
    <w:rsid w:val="55223F2F"/>
    <w:rsid w:val="5712074C"/>
    <w:rsid w:val="5C1E32DA"/>
    <w:rsid w:val="5C6309D2"/>
    <w:rsid w:val="5CEE3FCD"/>
    <w:rsid w:val="5D0A749E"/>
    <w:rsid w:val="5D9B7C91"/>
    <w:rsid w:val="5EC42E35"/>
    <w:rsid w:val="618A062A"/>
    <w:rsid w:val="639C74DA"/>
    <w:rsid w:val="63CB7229"/>
    <w:rsid w:val="64F07963"/>
    <w:rsid w:val="67782713"/>
    <w:rsid w:val="69252342"/>
    <w:rsid w:val="69CB420D"/>
    <w:rsid w:val="69D86BC2"/>
    <w:rsid w:val="6B870862"/>
    <w:rsid w:val="6BAB4EF0"/>
    <w:rsid w:val="6D373CB7"/>
    <w:rsid w:val="6DF6410C"/>
    <w:rsid w:val="6E955349"/>
    <w:rsid w:val="71E73A79"/>
    <w:rsid w:val="72DB2E88"/>
    <w:rsid w:val="735D5523"/>
    <w:rsid w:val="76F774A3"/>
    <w:rsid w:val="77D17783"/>
    <w:rsid w:val="78080ACE"/>
    <w:rsid w:val="790D0676"/>
    <w:rsid w:val="7A9F7EA6"/>
    <w:rsid w:val="7BBD6CAF"/>
    <w:rsid w:val="7E33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01"/>
    <w:basedOn w:val="7"/>
    <w:qFormat/>
    <w:uiPriority w:val="0"/>
    <w:rPr>
      <w:rFonts w:hint="default" w:ascii="Times New Roman" w:hAnsi="Times New Roman" w:cs="Times New Roman"/>
      <w:color w:val="0000FF"/>
      <w:sz w:val="21"/>
      <w:szCs w:val="21"/>
      <w:u w:val="none"/>
    </w:rPr>
  </w:style>
  <w:style w:type="character" w:customStyle="1" w:styleId="12">
    <w:name w:val="font21"/>
    <w:basedOn w:val="7"/>
    <w:qFormat/>
    <w:uiPriority w:val="0"/>
    <w:rPr>
      <w:rFonts w:hint="eastAsia" w:ascii="宋体" w:hAnsi="宋体" w:eastAsia="宋体" w:cs="宋体"/>
      <w:color w:val="0000FF"/>
      <w:sz w:val="21"/>
      <w:szCs w:val="21"/>
      <w:u w:val="none"/>
    </w:rPr>
  </w:style>
  <w:style w:type="character" w:customStyle="1" w:styleId="13">
    <w:name w:val="font11"/>
    <w:basedOn w:val="7"/>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2021-11-27T03:18:51Z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