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LZ2023-24ZW的五金杂品项目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2023年8月24日16:00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15:45至15:55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一年期五金杂品的采购。具体内容见</w:t>
      </w: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项目付款方式为医院按照自然月汇总采购量，在该月结束后的60日内支付采购费用。</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2023年8月22日17:00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u w:val="none"/>
          <w:lang w:val="en-US" w:eastAsia="zh-CN"/>
        </w:rPr>
        <w:t>《报价单》1中的品种根据之前合同年度模拟了采购数量；《报价单》2中的年度采购额很小，统一使用“1”为模拟采购量。《报价单》1和2最终均按照各自汇总的合计金额评判价格水平。</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《报价单》中标示的参考品牌为医院在用品牌，建议选用相同品牌或者同质量水平品牌。供应商填写《报价单》时应当改为填写拟实际供应品牌。</w:t>
      </w:r>
      <w:bookmarkStart w:id="0" w:name="_GoBack"/>
      <w:bookmarkEnd w:id="0"/>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医院不对未来实际采购量做出承诺。</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（一）供应商资质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格式正反面打印</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自定义格式A4纸正反面打印的《服务方案与质量保障措施》3份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w:t>
      </w:r>
      <w:r>
        <w:rPr>
          <w:rFonts w:hint="eastAsia" w:ascii="仿宋_GB2312" w:eastAsia="仿宋_GB2312"/>
          <w:sz w:val="32"/>
          <w:szCs w:val="32"/>
          <w:lang w:val="en-US" w:eastAsia="zh-CN"/>
        </w:rPr>
        <w:t>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原则上不需提供其他资料，但如果供应商认为确有必要追加提供的，可提供不超过2种、每种1份的其他资料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参与供应商在论证当日签到时，应当同时确认与其他参与供应商无出资、隶属、关联或者实际控制关系。存在上述关系的供应商，只能有一家参与论证。隐瞒、漏报上述关系的，医院将取消全部关联供应商的参与资格，已经获取推荐意见的，推荐意见作废。</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2023年8月14日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报价单1</w:t>
      </w:r>
    </w:p>
    <w:tbl>
      <w:tblPr>
        <w:tblStyle w:val="10"/>
        <w:tblW w:w="9015" w:type="dxa"/>
        <w:tblInd w:w="-260" w:type="dxa"/>
        <w:shd w:val="clear" w:color="auto" w:fill="auto"/>
        <w:tblLayout w:type="fixed"/>
        <w:tblCellMar>
          <w:top w:w="0" w:type="dxa"/>
          <w:left w:w="0" w:type="dxa"/>
          <w:bottom w:w="0" w:type="dxa"/>
          <w:right w:w="0" w:type="dxa"/>
        </w:tblCellMar>
      </w:tblPr>
      <w:tblGrid>
        <w:gridCol w:w="465"/>
        <w:gridCol w:w="1950"/>
        <w:gridCol w:w="1560"/>
        <w:gridCol w:w="750"/>
        <w:gridCol w:w="855"/>
        <w:gridCol w:w="1005"/>
        <w:gridCol w:w="1140"/>
        <w:gridCol w:w="1290"/>
      </w:tblGrid>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模拟</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价格</w:t>
            </w:r>
          </w:p>
          <w:p>
            <w:pPr>
              <w:keepNext w:val="0"/>
              <w:keepLines w:val="0"/>
              <w:widowControl/>
              <w:suppressLineNumbers w:val="0"/>
              <w:jc w:val="center"/>
              <w:textAlignment w:val="center"/>
              <w:rPr>
                <w:rFonts w:hint="eastAsia" w:ascii="仿宋_GB2312" w:hAnsi="仿宋_GB2312" w:eastAsia="仿宋_GB2312" w:cs="仿宋_GB2312"/>
                <w:b/>
                <w:bCs/>
                <w:lang w:val="en-US"/>
              </w:rPr>
            </w:pP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i w:val="0"/>
                <w:color w:val="000000"/>
                <w:kern w:val="0"/>
                <w:sz w:val="21"/>
                <w:szCs w:val="21"/>
                <w:u w:val="none"/>
                <w:lang w:val="en-US" w:eastAsia="zh-CN" w:bidi="ar"/>
              </w:rPr>
              <w:t>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金额</w:t>
            </w:r>
          </w:p>
          <w:p>
            <w:pPr>
              <w:keepNext w:val="0"/>
              <w:keepLines w:val="0"/>
              <w:widowControl/>
              <w:suppressLineNumbers w:val="0"/>
              <w:jc w:val="center"/>
              <w:textAlignment w:val="center"/>
              <w:rPr>
                <w:rFonts w:hint="eastAsia" w:ascii="仿宋_GB2312" w:hAnsi="仿宋_GB2312" w:eastAsia="仿宋_GB2312" w:cs="仿宋_GB2312"/>
                <w:b/>
                <w:bCs/>
                <w:lang w:val="en-US"/>
              </w:rPr>
            </w:pPr>
            <w:r>
              <w:rPr>
                <w:rFonts w:hint="eastAsia" w:ascii="仿宋_GB2312" w:hAnsi="仿宋_GB2312" w:eastAsia="仿宋_GB2312" w:cs="仿宋_GB2312"/>
                <w:b/>
                <w:bCs/>
                <w:i w:val="0"/>
                <w:color w:val="000000"/>
                <w:kern w:val="0"/>
                <w:sz w:val="21"/>
                <w:szCs w:val="21"/>
                <w:u w:val="none"/>
                <w:lang w:val="en-US" w:eastAsia="zh-CN" w:bidi="ar"/>
              </w:rPr>
              <w:t>（元）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参考品牌</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座便器盖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LED灯盘</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遮阳网</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5000目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平米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1252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电源开关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12V 400A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护套线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国标3*2.5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津达</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水泥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50KG/425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十孔5米线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LED灯盘</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大门锁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老50锁体</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多立</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石子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30-40KG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小门锁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50锁体</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将星</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沙</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30-40KG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电解质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1000g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康辉</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加重闭门器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百斯顿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排气扇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12B</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美的</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软包玻璃胶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590ml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支</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广威、玄武</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下水管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加厚电暖气轮</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脚踏阀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日丰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六孔3米线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黄胶带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1.8宽</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盘</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九头鸟</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硬塑加重污水井盖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铜锁芯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纯铜</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脚踏水龙头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纯铜脚踏阀</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B050"/>
                <w:sz w:val="21"/>
                <w:szCs w:val="21"/>
                <w:u w:val="none"/>
              </w:rPr>
            </w:pPr>
            <w:r>
              <w:rPr>
                <w:rFonts w:hint="eastAsia" w:ascii="仿宋_GB2312" w:hAnsi="仿宋_GB2312" w:eastAsia="仿宋_GB2312" w:cs="仿宋_GB2312"/>
                <w:i w:val="0"/>
                <w:color w:val="auto"/>
                <w:kern w:val="0"/>
                <w:sz w:val="21"/>
                <w:szCs w:val="21"/>
                <w:u w:val="none"/>
                <w:lang w:val="en-US" w:eastAsia="zh-CN" w:bidi="ar"/>
              </w:rPr>
              <w:t>日丰</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十孔3米线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大编制袋子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75cm*1.13m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喷壶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玻璃胶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66</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广威</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感应水龙头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电池+电源双用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乐浴</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金属软管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无线插排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六孔带开关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五孔插座</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防火门门锁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大地迪尚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垃圾夹</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下水管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玻璃纸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90厘米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防静电</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八孔5米线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免钉胶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300g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一哥</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带过滤大顶喷</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加重闭门器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百斯顿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拖把池下水管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Φ50mm带下水口</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角阀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日丰</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六孔5米线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护套线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津达</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锁体</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大50老式锁体</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小编织袋子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45cm*70m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银德</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加重闭门器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百斯顿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手提灯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勇者无畏</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漏电断路器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DZ47LE-4p-63A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德力西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漏电断路器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DZ47LE-2p-10-32A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德力西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墙皮开关单开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时控开关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德力西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水箱配件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005"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人体感应筒灯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劳士</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PVC穿线管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脸盆水龙头阀芯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铝合金地槽</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发泡胶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龙泉剑</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漏电断路器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DZ47LE-2p-40A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德力西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轨道</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键盘用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防静电玻璃纸</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防静电</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窗把手</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铝合金</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四孔1.8米线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高强自攻丝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20mm--40mm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雪掀+把</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活性氧试剂</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100小包</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袋</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商务门锁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安德力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铁丝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8#-14#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斤</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玻璃门锁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单面</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液位开关</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螺丝松动液</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235g</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三孔1.8米线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不锈钢麻花钻头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电锤钻头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绝缘胶布</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黑1.8mm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盘</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漏电断路器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DZ47LE-4p-40A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德力西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金属软管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八孔3米线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长脖锁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138-32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小博士</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短脖锁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138-22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小博士</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LED吸顶灯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自喷漆</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瓶</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三合</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烟斗合页</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带缓冲</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三相插头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PVC穿线管弯头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87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银德</w:t>
            </w:r>
          </w:p>
        </w:tc>
      </w:tr>
      <w:tr>
        <w:tblPrEx>
          <w:tblLayout w:type="fixed"/>
          <w:tblCellMar>
            <w:top w:w="0" w:type="dxa"/>
            <w:left w:w="0" w:type="dxa"/>
            <w:bottom w:w="0" w:type="dxa"/>
            <w:right w:w="0" w:type="dxa"/>
          </w:tblCellMar>
        </w:tblPrEx>
        <w:trPr>
          <w:trHeight w:val="340" w:hRule="atLeast"/>
        </w:trPr>
        <w:tc>
          <w:tcPr>
            <w:tcW w:w="65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b/>
                <w:bCs/>
                <w:i w:val="0"/>
                <w:color w:val="000000"/>
                <w:sz w:val="21"/>
                <w:szCs w:val="21"/>
                <w:u w:val="none"/>
                <w:lang w:val="en-US" w:eastAsia="zh-CN"/>
              </w:rPr>
            </w:pPr>
            <w:r>
              <w:rPr>
                <w:rFonts w:hint="eastAsia" w:ascii="仿宋_GB2312" w:hAnsi="仿宋_GB2312" w:eastAsia="仿宋_GB2312" w:cs="仿宋_GB2312"/>
                <w:b/>
                <w:bCs/>
                <w:i w:val="0"/>
                <w:color w:val="000000"/>
                <w:sz w:val="21"/>
                <w:szCs w:val="21"/>
                <w:u w:val="none"/>
                <w:lang w:val="en-US" w:eastAsia="zh-CN"/>
              </w:rPr>
              <w:t>合计金额（元）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1"/>
                <w:szCs w:val="21"/>
                <w:u w:val="none"/>
                <w:lang w:val="en-US" w:eastAsia="zh-CN" w:bidi="ar"/>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lang w:val="en-US"/>
        </w:rPr>
      </w:pPr>
      <w:r>
        <w:rPr>
          <w:rFonts w:hint="eastAsia" w:ascii="仿宋_GB2312" w:hAnsi="仿宋_GB2312" w:eastAsia="仿宋_GB2312" w:cs="仿宋_GB2312"/>
          <w:b/>
          <w:bCs w:val="0"/>
          <w:sz w:val="44"/>
          <w:szCs w:val="44"/>
          <w:lang w:val="en-US" w:eastAsia="zh-CN"/>
        </w:rPr>
        <w:t>报价单2</w:t>
      </w:r>
    </w:p>
    <w:tbl>
      <w:tblPr>
        <w:tblStyle w:val="10"/>
        <w:tblW w:w="9015" w:type="dxa"/>
        <w:tblInd w:w="-260" w:type="dxa"/>
        <w:shd w:val="clear" w:color="auto" w:fill="auto"/>
        <w:tblLayout w:type="fixed"/>
        <w:tblCellMar>
          <w:top w:w="0" w:type="dxa"/>
          <w:left w:w="0" w:type="dxa"/>
          <w:bottom w:w="0" w:type="dxa"/>
          <w:right w:w="0" w:type="dxa"/>
        </w:tblCellMar>
      </w:tblPr>
      <w:tblGrid>
        <w:gridCol w:w="465"/>
        <w:gridCol w:w="1950"/>
        <w:gridCol w:w="1560"/>
        <w:gridCol w:w="750"/>
        <w:gridCol w:w="855"/>
        <w:gridCol w:w="1005"/>
        <w:gridCol w:w="1140"/>
        <w:gridCol w:w="1290"/>
      </w:tblGrid>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序</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号</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名称</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模拟</w:t>
            </w:r>
          </w:p>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数量</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价格</w:t>
            </w:r>
          </w:p>
          <w:p>
            <w:pPr>
              <w:keepNext w:val="0"/>
              <w:keepLines w:val="0"/>
              <w:widowControl/>
              <w:suppressLineNumbers w:val="0"/>
              <w:jc w:val="center"/>
              <w:textAlignment w:val="center"/>
              <w:rPr>
                <w:rFonts w:hint="eastAsia" w:ascii="仿宋_GB2312" w:hAnsi="仿宋_GB2312" w:eastAsia="仿宋_GB2312" w:cs="仿宋_GB2312"/>
                <w:b/>
                <w:bCs/>
                <w:lang w:val="en-US"/>
              </w:rPr>
            </w:pPr>
            <w:r>
              <w:rPr>
                <w:rFonts w:hint="eastAsia" w:ascii="仿宋_GB2312" w:hAnsi="仿宋_GB2312" w:eastAsia="仿宋_GB2312" w:cs="仿宋_GB2312"/>
                <w:b/>
                <w:bCs/>
                <w:lang w:val="en-US" w:eastAsia="zh-CN"/>
              </w:rPr>
              <w:t>（</w:t>
            </w:r>
            <w:r>
              <w:rPr>
                <w:rFonts w:hint="eastAsia" w:ascii="仿宋_GB2312" w:hAnsi="仿宋_GB2312" w:eastAsia="仿宋_GB2312" w:cs="仿宋_GB2312"/>
                <w:b/>
                <w:bCs/>
                <w:i w:val="0"/>
                <w:color w:val="000000"/>
                <w:kern w:val="0"/>
                <w:sz w:val="21"/>
                <w:szCs w:val="21"/>
                <w:u w:val="none"/>
                <w:lang w:val="en-US" w:eastAsia="zh-CN" w:bidi="ar"/>
              </w:rPr>
              <w:t>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lang w:val="en-US" w:eastAsia="zh-CN"/>
              </w:rPr>
            </w:pPr>
            <w:r>
              <w:rPr>
                <w:rFonts w:hint="eastAsia" w:ascii="仿宋_GB2312" w:hAnsi="仿宋_GB2312" w:eastAsia="仿宋_GB2312" w:cs="仿宋_GB2312"/>
                <w:b/>
                <w:bCs/>
                <w:lang w:val="en-US" w:eastAsia="zh-CN"/>
              </w:rPr>
              <w:t>金额</w:t>
            </w:r>
          </w:p>
          <w:p>
            <w:pPr>
              <w:keepNext w:val="0"/>
              <w:keepLines w:val="0"/>
              <w:widowControl/>
              <w:suppressLineNumbers w:val="0"/>
              <w:jc w:val="center"/>
              <w:textAlignment w:val="center"/>
              <w:rPr>
                <w:rFonts w:hint="eastAsia" w:ascii="仿宋_GB2312" w:hAnsi="仿宋_GB2312" w:eastAsia="仿宋_GB2312" w:cs="仿宋_GB2312"/>
                <w:b/>
                <w:bCs/>
                <w:lang w:val="en-US"/>
              </w:rPr>
            </w:pPr>
            <w:r>
              <w:rPr>
                <w:rFonts w:hint="eastAsia" w:ascii="仿宋_GB2312" w:hAnsi="仿宋_GB2312" w:eastAsia="仿宋_GB2312" w:cs="仿宋_GB2312"/>
                <w:b/>
                <w:bCs/>
                <w:i w:val="0"/>
                <w:color w:val="000000"/>
                <w:kern w:val="0"/>
                <w:sz w:val="21"/>
                <w:szCs w:val="21"/>
                <w:u w:val="none"/>
                <w:lang w:val="en-US" w:eastAsia="zh-CN" w:bidi="ar"/>
              </w:rPr>
              <w:t>（元）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参考品牌</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洗手盆柜子腿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10公分</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个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四孔3米线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LED吸顶灯</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生料带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不锈钢麻花钻头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刀片</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壁纸刀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理石胶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组</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墙皮开关双开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软玻璃胶枪</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无线插排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四孔带开关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漏电断路器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DZ47LE-1p-10-32A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德力西</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三环锁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三环</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明装盒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下水管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伸缩</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白盖板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86型</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锁体</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小50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无线插排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三孔带开关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LED灯泡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5W</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世达螺丝刀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世达</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铝塑管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Φ1216mm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六角批头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内丝弯头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Φ1216mm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外丝直接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Φ1216mm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B05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外丝直接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Φ1216*½mm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不锈钢插销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4寸</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卡尔龙</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月牙锁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窗用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断路器盒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4-5回路</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PPR丝堵</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PVC穿线管直接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不锈钢锁扣</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线卡子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Φ6mm--Φ12mm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三环锁</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363</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三环</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铜对丝内</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个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三孔3米线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插排</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三孔5米线</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40开孔器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60开孔器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PPR内丝弯头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PPR三通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PPR弯头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PPR直接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PPR座卡子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PPR座卡子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PVC管卡子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PVC管卡子</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PVC弯头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不锈钢麻花钻头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Φ10.5</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不锈钢麻花钻头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不锈钢平垫</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Φ4mm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不锈钢丝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Φ3.5mm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彩旗</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40米</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两相插头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公牛</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大理石开孔器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nil"/>
              <w:left w:val="nil"/>
              <w:bottom w:val="nil"/>
              <w:right w:val="nil"/>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电锤钻头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电锤钻头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电锤钻头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电锤钻头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钢钉</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20mm-80mm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哥俩好胶小桶</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500ml</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哥俩好</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护套线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国标3*1</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津达</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绝缘胶鞋</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双</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批头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十字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铝合金地槽</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铝合金地槽</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铝塑阀门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Φ1216mm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内丝三通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Φ1216mm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内丝弯头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Φ1620mm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69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内丝直接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Φ1216*½mm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内丝直接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Φ1216mm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内丝直接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Φ1620mm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三孔16A</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佛山</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扫帚</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把</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世达内六角扳手</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9PCS</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世达</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铁污水井盖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铁掀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套</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铜对丝外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个 </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铜管箍</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79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银德</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Φ63mm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银德</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铜球阀</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Φ32mm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银德</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铜内丝堵头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铜外丝堵头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Φ15mm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外丝弯头</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Φ1620mm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外丝直接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Φ1620mm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新力通</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86</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燕尾自攻丝</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25mm-100mm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盒</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龙泉剑</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87</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扎带</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包</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88</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铸铁污水井盖</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900mm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89</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护套线</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国标3*4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津达</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90</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PPR热水管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Φ20mm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PVC穿线管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Φ16mm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92</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PVC管</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米</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PVC直接</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Φ50mm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宏信</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94</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加重闭门器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TS2000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丐泽</w:t>
            </w:r>
          </w:p>
        </w:tc>
      </w:tr>
      <w:tr>
        <w:tblPrEx>
          <w:tblLayout w:type="fixed"/>
          <w:tblCellMar>
            <w:top w:w="0" w:type="dxa"/>
            <w:left w:w="0" w:type="dxa"/>
            <w:bottom w:w="0" w:type="dxa"/>
            <w:right w:w="0" w:type="dxa"/>
          </w:tblCellMar>
        </w:tblPrEx>
        <w:trPr>
          <w:trHeight w:val="3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交流接触器</w:t>
            </w:r>
          </w:p>
        </w:tc>
        <w:tc>
          <w:tcPr>
            <w:tcW w:w="15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20A</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个</w:t>
            </w: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z w:val="21"/>
                <w:szCs w:val="21"/>
                <w:u w:val="none"/>
                <w:lang w:val="en-US" w:eastAsia="zh-CN"/>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仿宋_GB2312" w:hAnsi="仿宋_GB2312" w:eastAsia="仿宋_GB2312" w:cs="仿宋_GB2312"/>
                <w:i w:val="0"/>
                <w:color w:val="000000"/>
                <w:sz w:val="21"/>
                <w:szCs w:val="21"/>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仿宋_GB2312" w:hAnsi="仿宋_GB2312" w:eastAsia="仿宋_GB2312" w:cs="仿宋_GB2312"/>
                <w:i w:val="0"/>
                <w:color w:val="000000"/>
                <w:kern w:val="0"/>
                <w:sz w:val="21"/>
                <w:szCs w:val="21"/>
                <w:u w:val="none"/>
                <w:lang w:val="en-US" w:eastAsia="zh-CN" w:bidi="ar"/>
              </w:rPr>
            </w:pPr>
          </w:p>
        </w:tc>
      </w:tr>
      <w:tr>
        <w:tblPrEx>
          <w:tblLayout w:type="fixed"/>
          <w:tblCellMar>
            <w:top w:w="0" w:type="dxa"/>
            <w:left w:w="0" w:type="dxa"/>
            <w:bottom w:w="0" w:type="dxa"/>
            <w:right w:w="0" w:type="dxa"/>
          </w:tblCellMar>
        </w:tblPrEx>
        <w:trPr>
          <w:trHeight w:val="340" w:hRule="atLeast"/>
        </w:trPr>
        <w:tc>
          <w:tcPr>
            <w:tcW w:w="658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b/>
                <w:bCs/>
                <w:i w:val="0"/>
                <w:color w:val="000000"/>
                <w:sz w:val="21"/>
                <w:szCs w:val="21"/>
                <w:u w:val="none"/>
                <w:lang w:val="en-US" w:eastAsia="zh-CN"/>
              </w:rPr>
            </w:pPr>
            <w:r>
              <w:rPr>
                <w:rFonts w:hint="eastAsia" w:ascii="仿宋_GB2312" w:hAnsi="仿宋_GB2312" w:eastAsia="仿宋_GB2312" w:cs="仿宋_GB2312"/>
                <w:b/>
                <w:bCs/>
                <w:i w:val="0"/>
                <w:color w:val="000000"/>
                <w:sz w:val="21"/>
                <w:szCs w:val="21"/>
                <w:u w:val="none"/>
                <w:lang w:val="en-US" w:eastAsia="zh-CN"/>
              </w:rPr>
              <w:t>合计金额（元）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仿宋_GB2312" w:hAnsi="仿宋_GB2312" w:eastAsia="仿宋_GB2312" w:cs="仿宋_GB2312"/>
                <w:b/>
                <w:bCs/>
                <w:i w:val="0"/>
                <w:color w:val="000000"/>
                <w:kern w:val="0"/>
                <w:sz w:val="21"/>
                <w:szCs w:val="21"/>
                <w:u w:val="none"/>
                <w:lang w:val="en-US" w:eastAsia="zh-CN" w:bidi="ar"/>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jc w:val="center"/>
        <w:rPr>
          <w:rFonts w:hint="eastAsia" w:ascii="仿宋_GB2312" w:hAnsi="仿宋_GB2312" w:eastAsia="仿宋_GB2312" w:cs="仿宋_GB2312"/>
          <w:b/>
          <w:bCs/>
          <w:sz w:val="24"/>
          <w:szCs w:val="24"/>
          <w:lang w:val="en-US" w:eastAsia="zh-CN"/>
        </w:rPr>
      </w:pPr>
    </w:p>
    <w:p>
      <w:pPr>
        <w:rPr>
          <w:rFonts w:hint="eastAsia" w:ascii="仿宋_GB2312" w:hAnsi="仿宋_GB2312" w:eastAsia="仿宋_GB2312" w:cs="仿宋_GB2312"/>
          <w:b w:val="0"/>
          <w:bCs w:val="0"/>
          <w:sz w:val="32"/>
          <w:szCs w:val="32"/>
          <w:lang w:val="en-US" w:eastAsia="zh-CN"/>
        </w:rPr>
      </w:pPr>
    </w:p>
    <w:p>
      <w:pPr>
        <w:rPr>
          <w:rFonts w:hint="eastAsia"/>
          <w:b/>
          <w:bCs/>
          <w:sz w:val="44"/>
          <w:szCs w:val="44"/>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306783C"/>
    <w:rsid w:val="03974053"/>
    <w:rsid w:val="03BD6C87"/>
    <w:rsid w:val="041012AE"/>
    <w:rsid w:val="056E3308"/>
    <w:rsid w:val="06616A6F"/>
    <w:rsid w:val="06637264"/>
    <w:rsid w:val="072E50C6"/>
    <w:rsid w:val="088966EE"/>
    <w:rsid w:val="0A5B73EA"/>
    <w:rsid w:val="0A7105F0"/>
    <w:rsid w:val="0AE47B1E"/>
    <w:rsid w:val="0B50556E"/>
    <w:rsid w:val="0BC2087A"/>
    <w:rsid w:val="0C0E2D62"/>
    <w:rsid w:val="0C8666E0"/>
    <w:rsid w:val="0D0328AB"/>
    <w:rsid w:val="0E441926"/>
    <w:rsid w:val="0E5674D9"/>
    <w:rsid w:val="0EB466F8"/>
    <w:rsid w:val="0F4722FA"/>
    <w:rsid w:val="0FE867C1"/>
    <w:rsid w:val="0FE9205B"/>
    <w:rsid w:val="0FFB437A"/>
    <w:rsid w:val="112A7A9F"/>
    <w:rsid w:val="125F6671"/>
    <w:rsid w:val="139F5A87"/>
    <w:rsid w:val="15CF09FC"/>
    <w:rsid w:val="17450FC9"/>
    <w:rsid w:val="1753483A"/>
    <w:rsid w:val="178F45DF"/>
    <w:rsid w:val="18004AEB"/>
    <w:rsid w:val="1940115E"/>
    <w:rsid w:val="19F52E2A"/>
    <w:rsid w:val="1B4D18DA"/>
    <w:rsid w:val="1DA57A56"/>
    <w:rsid w:val="1FF86EBC"/>
    <w:rsid w:val="209100DD"/>
    <w:rsid w:val="20F60EBA"/>
    <w:rsid w:val="21A437E9"/>
    <w:rsid w:val="21E03505"/>
    <w:rsid w:val="221F102A"/>
    <w:rsid w:val="22EA0E31"/>
    <w:rsid w:val="23597745"/>
    <w:rsid w:val="242C03B8"/>
    <w:rsid w:val="24314357"/>
    <w:rsid w:val="27C129C2"/>
    <w:rsid w:val="28460323"/>
    <w:rsid w:val="29B47B51"/>
    <w:rsid w:val="2BC4525D"/>
    <w:rsid w:val="2BF70ED7"/>
    <w:rsid w:val="2D067FF6"/>
    <w:rsid w:val="2D453ECC"/>
    <w:rsid w:val="2DBF247F"/>
    <w:rsid w:val="2E127BEC"/>
    <w:rsid w:val="2ED737AD"/>
    <w:rsid w:val="30BA749B"/>
    <w:rsid w:val="30E83BF7"/>
    <w:rsid w:val="326C6156"/>
    <w:rsid w:val="32EB18B3"/>
    <w:rsid w:val="33B8159B"/>
    <w:rsid w:val="33DD3CC2"/>
    <w:rsid w:val="349D7AB3"/>
    <w:rsid w:val="34B302E9"/>
    <w:rsid w:val="34B3356C"/>
    <w:rsid w:val="3507227E"/>
    <w:rsid w:val="358A4F24"/>
    <w:rsid w:val="35B14893"/>
    <w:rsid w:val="364C6A4B"/>
    <w:rsid w:val="378B19B6"/>
    <w:rsid w:val="38442533"/>
    <w:rsid w:val="3AB050B1"/>
    <w:rsid w:val="3B8A4BB6"/>
    <w:rsid w:val="3BE22435"/>
    <w:rsid w:val="3BE91C1D"/>
    <w:rsid w:val="3C274923"/>
    <w:rsid w:val="3C732980"/>
    <w:rsid w:val="3E7F198B"/>
    <w:rsid w:val="409A6159"/>
    <w:rsid w:val="40A34F94"/>
    <w:rsid w:val="40F724E5"/>
    <w:rsid w:val="43B1151D"/>
    <w:rsid w:val="43B62B93"/>
    <w:rsid w:val="453C4CFD"/>
    <w:rsid w:val="45C97AD5"/>
    <w:rsid w:val="46561CC4"/>
    <w:rsid w:val="46F964AC"/>
    <w:rsid w:val="4A306100"/>
    <w:rsid w:val="4B312183"/>
    <w:rsid w:val="4CCD63FC"/>
    <w:rsid w:val="4E17470B"/>
    <w:rsid w:val="501713DB"/>
    <w:rsid w:val="5026344A"/>
    <w:rsid w:val="5037594C"/>
    <w:rsid w:val="511538A8"/>
    <w:rsid w:val="51491C22"/>
    <w:rsid w:val="518542D3"/>
    <w:rsid w:val="518E7743"/>
    <w:rsid w:val="51965E4E"/>
    <w:rsid w:val="51F17CF9"/>
    <w:rsid w:val="51FE2564"/>
    <w:rsid w:val="528D6E2B"/>
    <w:rsid w:val="54017CE1"/>
    <w:rsid w:val="54571857"/>
    <w:rsid w:val="54AF3AFE"/>
    <w:rsid w:val="54B35F20"/>
    <w:rsid w:val="55223F2F"/>
    <w:rsid w:val="5712074C"/>
    <w:rsid w:val="5AFE414F"/>
    <w:rsid w:val="5C1E32DA"/>
    <w:rsid w:val="5C6309D2"/>
    <w:rsid w:val="5CEE3FCD"/>
    <w:rsid w:val="5D0A749E"/>
    <w:rsid w:val="5D9B7C91"/>
    <w:rsid w:val="5DA24171"/>
    <w:rsid w:val="5DD830E4"/>
    <w:rsid w:val="5EC42E35"/>
    <w:rsid w:val="618A062A"/>
    <w:rsid w:val="624772C6"/>
    <w:rsid w:val="626F6842"/>
    <w:rsid w:val="639C74DA"/>
    <w:rsid w:val="63CB7229"/>
    <w:rsid w:val="64E613E5"/>
    <w:rsid w:val="64F07963"/>
    <w:rsid w:val="65896D7B"/>
    <w:rsid w:val="65D2522A"/>
    <w:rsid w:val="66E05971"/>
    <w:rsid w:val="67782713"/>
    <w:rsid w:val="685C0C8B"/>
    <w:rsid w:val="69252342"/>
    <w:rsid w:val="69517A30"/>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90D0676"/>
    <w:rsid w:val="79370F44"/>
    <w:rsid w:val="7A9F7EA6"/>
    <w:rsid w:val="7BBD6CAF"/>
    <w:rsid w:val="7BF62302"/>
    <w:rsid w:val="7CDA444A"/>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2023-08-11T07:03:31Z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