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编号LZ2023-16XX的企业版杀毒软件项目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2023年7月21日14:00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用于66个服务器和410台终端电脑的企业版杀毒软件，其中58个服务器和410台终端电脑为不能访问互联网的内网环境，8个服务器为可以访问互联网的外网环境，内外网实行物理隔离。项目要求支持主流的Windows、Linux操作系统，能提供不少于3年的免费升级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项目的付款方式为验收合格之日起60日内支付90%，其余10%作为质保金一年后支付。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2023年7月19日17:00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u w:val="none"/>
          <w:lang w:val="en-US" w:eastAsia="zh-CN"/>
        </w:rPr>
        <w:t>格式的</w:t>
      </w:r>
      <w:r>
        <w:rPr>
          <w:rFonts w:hint="eastAsia" w:ascii="仿宋_GB2312" w:eastAsia="仿宋_GB2312"/>
          <w:sz w:val="32"/>
          <w:szCs w:val="32"/>
          <w:lang w:val="en-US" w:eastAsia="zh-CN"/>
        </w:rPr>
        <w:t>《报价单》2份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sz w:val="32"/>
          <w:szCs w:val="32"/>
          <w:lang w:val="en-US" w:eastAsia="zh-CN"/>
        </w:rPr>
        <w:t>市场应用</w:t>
      </w:r>
      <w:bookmarkStart w:id="0" w:name="_GoBack"/>
      <w:bookmarkEnd w:id="0"/>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格式的供应商《市场应用/对外服务情况表》1份（顺序为威海区域在前，其他区域在后，数量不超过20家）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2023年7月10日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1"/>
        <w:tblW w:w="851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425"/>
        <w:gridCol w:w="2055"/>
        <w:gridCol w:w="1095"/>
        <w:gridCol w:w="108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8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4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05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109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0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升级期</w:t>
            </w:r>
          </w:p>
        </w:tc>
        <w:tc>
          <w:tcPr>
            <w:tcW w:w="126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8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用于66个服务器和410台终端电脑的企业版杀毒软件</w:t>
            </w:r>
          </w:p>
        </w:tc>
        <w:tc>
          <w:tcPr>
            <w:tcW w:w="1425" w:type="dxa"/>
            <w:vAlign w:val="center"/>
          </w:tcPr>
          <w:p>
            <w:pPr>
              <w:jc w:val="center"/>
              <w:rPr>
                <w:rFonts w:hint="eastAsia" w:ascii="仿宋_GB2312" w:hAnsi="仿宋_GB2312" w:eastAsia="仿宋_GB2312" w:cs="仿宋_GB2312"/>
                <w:sz w:val="24"/>
                <w:szCs w:val="24"/>
                <w:vertAlign w:val="baseline"/>
                <w:lang w:val="en-US" w:eastAsia="zh-CN"/>
              </w:rPr>
            </w:pPr>
          </w:p>
        </w:tc>
        <w:tc>
          <w:tcPr>
            <w:tcW w:w="2055" w:type="dxa"/>
            <w:vAlign w:val="center"/>
          </w:tcPr>
          <w:p>
            <w:pPr>
              <w:jc w:val="center"/>
              <w:rPr>
                <w:rFonts w:hint="eastAsia" w:ascii="仿宋_GB2312" w:hAnsi="仿宋_GB2312" w:eastAsia="仿宋_GB2312" w:cs="仿宋_GB2312"/>
                <w:sz w:val="24"/>
                <w:szCs w:val="24"/>
                <w:vertAlign w:val="baseline"/>
                <w:lang w:val="en-US" w:eastAsia="zh-CN"/>
              </w:rPr>
            </w:pPr>
          </w:p>
        </w:tc>
        <w:tc>
          <w:tcPr>
            <w:tcW w:w="1095" w:type="dxa"/>
            <w:vAlign w:val="center"/>
          </w:tcPr>
          <w:p>
            <w:pPr>
              <w:jc w:val="center"/>
              <w:rPr>
                <w:rFonts w:hint="eastAsia" w:ascii="仿宋_GB2312" w:hAnsi="仿宋_GB2312" w:eastAsia="仿宋_GB2312" w:cs="仿宋_GB2312"/>
                <w:sz w:val="24"/>
                <w:szCs w:val="24"/>
                <w:vertAlign w:val="baseline"/>
                <w:lang w:val="en-US" w:eastAsia="zh-CN"/>
              </w:rPr>
            </w:pPr>
          </w:p>
        </w:tc>
        <w:tc>
          <w:tcPr>
            <w:tcW w:w="10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9"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BF6B8D"/>
    <w:rsid w:val="2ED737AD"/>
    <w:rsid w:val="30BA749B"/>
    <w:rsid w:val="326607A8"/>
    <w:rsid w:val="326C6156"/>
    <w:rsid w:val="32EB18B3"/>
    <w:rsid w:val="33B8159B"/>
    <w:rsid w:val="33DD3CC2"/>
    <w:rsid w:val="349D7AB3"/>
    <w:rsid w:val="34B3356C"/>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53C4CFD"/>
    <w:rsid w:val="45C97AD5"/>
    <w:rsid w:val="46561CC4"/>
    <w:rsid w:val="46F964AC"/>
    <w:rsid w:val="4A306100"/>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EC42E35"/>
    <w:rsid w:val="618A062A"/>
    <w:rsid w:val="624772C6"/>
    <w:rsid w:val="639C74DA"/>
    <w:rsid w:val="63CB7229"/>
    <w:rsid w:val="64E613E5"/>
    <w:rsid w:val="64F07963"/>
    <w:rsid w:val="66E05971"/>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2023-07-10T06:33:20Z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