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single"/>
          <w:lang w:val="en-US" w:eastAsia="zh-CN"/>
        </w:rPr>
        <w:t>编号LZ2023-04MZ的TCT/HPV委托检测服务项目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拟参与供应商务必全面、认真阅读本函所有内容，并严格按照本函要求落实参与事宜。未按要求履行程序或者未按要求提供资料的供应商，无法取得参与资格。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2023年4月13日14:00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医院一年期TCT/HPV的委托检测服务。</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拟参加的供应商应当于</w:t>
      </w:r>
      <w:r>
        <w:rPr>
          <w:rFonts w:hint="eastAsia" w:ascii="仿宋_GB2312" w:hAnsi="仿宋_GB2312" w:eastAsia="仿宋_GB2312" w:cs="仿宋_GB2312"/>
          <w:sz w:val="32"/>
          <w:szCs w:val="32"/>
          <w:u w:val="single"/>
          <w:lang w:val="en-US" w:eastAsia="zh-CN"/>
        </w:rPr>
        <w:t xml:space="preserve"> 2023年4月11日17:00</w:t>
      </w:r>
      <w:r>
        <w:rPr>
          <w:rFonts w:hint="eastAsia" w:ascii="仿宋_GB2312" w:hAnsi="仿宋_GB2312" w:eastAsia="仿宋_GB2312" w:cs="仿宋_GB2312"/>
          <w:sz w:val="32"/>
          <w:szCs w:val="32"/>
          <w:lang w:val="en-US" w:eastAsia="zh-CN"/>
        </w:rPr>
        <w:t>前</w:t>
      </w:r>
      <w:r>
        <w:rPr>
          <w:rFonts w:hint="eastAsia" w:ascii="仿宋_GB2312" w:hAnsi="仿宋_GB2312" w:eastAsia="仿宋_GB2312" w:cs="仿宋_GB2312"/>
          <w:color w:val="auto"/>
          <w:sz w:val="32"/>
          <w:szCs w:val="32"/>
          <w:lang w:val="en-US" w:eastAsia="zh-CN"/>
        </w:rPr>
        <w:t>派员</w:t>
      </w:r>
      <w:r>
        <w:rPr>
          <w:rFonts w:hint="eastAsia" w:ascii="仿宋_GB2312" w:hAnsi="仿宋_GB2312" w:eastAsia="仿宋_GB2312" w:cs="仿宋_GB2312"/>
          <w:sz w:val="32"/>
          <w:szCs w:val="32"/>
          <w:lang w:val="en-US" w:eastAsia="zh-CN"/>
        </w:rPr>
        <w:t>持公司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复印件和</w:t>
      </w:r>
      <w:r>
        <w:rPr>
          <w:rFonts w:hint="eastAsia" w:ascii="仿宋_GB2312" w:hAnsi="仿宋_GB2312" w:eastAsia="仿宋_GB2312" w:cs="仿宋_GB2312"/>
          <w:sz w:val="32"/>
          <w:szCs w:val="32"/>
          <w:u w:val="single"/>
          <w:lang w:val="en-US" w:eastAsia="zh-CN"/>
        </w:rPr>
        <w:t>附件4</w:t>
      </w:r>
      <w:r>
        <w:rPr>
          <w:rFonts w:hint="eastAsia" w:ascii="仿宋_GB2312" w:hAnsi="仿宋_GB2312" w:eastAsia="仿宋_GB2312" w:cs="仿宋_GB2312"/>
          <w:sz w:val="32"/>
          <w:szCs w:val="32"/>
          <w:lang w:val="en-US" w:eastAsia="zh-CN"/>
        </w:rPr>
        <w:t>《报名信息表》各1份到医院招标办报名。</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五、论证的目的与方式</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通过与供应商进行沟通与谈判，掌握相关产品与服务的质量层次、价格水平、配置方案、保障体系、市场应用等相关信息，为未来实施采购提供标准和依据。</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对于论证结果成熟且项目金额不超过10万元的项目，可以根据医院管理制度的规定，由决策会议批准直接按照论证结果实施采购。</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论证参照询竞争性蹉商方式，商谈的顺序按照报名的先后顺序反向进行。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论证采取线上形式，签到和现场沟通使用电话或者办公软件联络方式。项目被授权人和报名联系人在论证当天</w:t>
      </w:r>
      <w:r>
        <w:rPr>
          <w:rFonts w:hint="eastAsia" w:ascii="仿宋_GB2312" w:hAnsi="仿宋_GB2312" w:eastAsia="仿宋_GB2312" w:cs="仿宋_GB2312"/>
          <w:color w:val="auto"/>
          <w:sz w:val="32"/>
          <w:szCs w:val="32"/>
          <w:u w:val="single"/>
          <w:lang w:val="en-US" w:eastAsia="zh-CN"/>
        </w:rPr>
        <w:t>13:30至17:00</w:t>
      </w:r>
      <w:r>
        <w:rPr>
          <w:rFonts w:hint="eastAsia" w:ascii="仿宋_GB2312" w:hAnsi="仿宋_GB2312" w:eastAsia="仿宋_GB2312" w:cs="仿宋_GB2312"/>
          <w:color w:val="auto"/>
          <w:sz w:val="32"/>
          <w:szCs w:val="32"/>
          <w:u w:val="none"/>
          <w:lang w:val="en-US" w:eastAsia="zh-CN"/>
        </w:rPr>
        <w:t>保持通信畅通。</w:t>
      </w:r>
    </w:p>
    <w:p>
      <w:pPr>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lang w:val="en-US" w:eastAsia="zh-CN"/>
        </w:rPr>
        <w:t>拟参加的供应商需要将“六、论证现场需要的资料”</w:t>
      </w:r>
      <w:r>
        <w:rPr>
          <w:rFonts w:hint="eastAsia" w:ascii="仿宋_GB2312" w:hAnsi="仿宋_GB2312" w:eastAsia="仿宋_GB2312" w:cs="仿宋_GB2312"/>
          <w:sz w:val="32"/>
          <w:szCs w:val="32"/>
          <w:u w:val="single"/>
          <w:lang w:val="en-US" w:eastAsia="zh-CN"/>
        </w:rPr>
        <w:t>进行密封</w:t>
      </w:r>
      <w:r>
        <w:rPr>
          <w:rFonts w:hint="eastAsia" w:ascii="仿宋_GB2312" w:hAnsi="仿宋_GB2312" w:eastAsia="仿宋_GB2312" w:cs="仿宋_GB2312"/>
          <w:sz w:val="32"/>
          <w:szCs w:val="32"/>
          <w:lang w:val="en-US" w:eastAsia="zh-CN"/>
        </w:rPr>
        <w:t>并于</w:t>
      </w:r>
      <w:r>
        <w:rPr>
          <w:rFonts w:hint="eastAsia" w:ascii="仿宋_GB2312" w:hAnsi="仿宋_GB2312" w:eastAsia="仿宋_GB2312" w:cs="仿宋_GB2312"/>
          <w:sz w:val="32"/>
          <w:szCs w:val="32"/>
          <w:u w:val="single"/>
          <w:lang w:val="en-US" w:eastAsia="zh-CN"/>
        </w:rPr>
        <w:t>2023年4月13日12:00</w:t>
      </w:r>
      <w:r>
        <w:rPr>
          <w:rFonts w:hint="eastAsia" w:ascii="仿宋_GB2312" w:hAnsi="仿宋_GB2312" w:eastAsia="仿宋_GB2312" w:cs="仿宋_GB2312"/>
          <w:sz w:val="32"/>
          <w:szCs w:val="32"/>
          <w:lang w:val="en-US" w:eastAsia="zh-CN"/>
        </w:rPr>
        <w:t>前送达威海市立第三医院招标办。送达可以使用邮寄方式，收件信息：威海市齐鲁大道80号 威海市立第三医院三楼招标办 王博 186 6037 6862。</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（一）供应商资质</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营业执照</w:t>
      </w:r>
      <w:r>
        <w:rPr>
          <w:rFonts w:hint="eastAsia" w:ascii="仿宋_GB2312" w:eastAsia="仿宋_GB2312"/>
          <w:sz w:val="32"/>
          <w:szCs w:val="32"/>
          <w:lang w:eastAsia="zh-CN"/>
        </w:rPr>
        <w:t>》</w:t>
      </w:r>
      <w:r>
        <w:rPr>
          <w:rFonts w:hint="eastAsia" w:ascii="仿宋_GB2312" w:eastAsia="仿宋_GB2312"/>
          <w:sz w:val="32"/>
          <w:szCs w:val="32"/>
        </w:rPr>
        <w:t>复印件</w:t>
      </w:r>
      <w:r>
        <w:rPr>
          <w:rFonts w:hint="eastAsia" w:ascii="仿宋_GB2312" w:eastAsia="仿宋_GB2312"/>
          <w:sz w:val="32"/>
          <w:szCs w:val="32"/>
          <w:lang w:val="en-US" w:eastAsia="zh-CN"/>
        </w:rPr>
        <w:t>1</w:t>
      </w:r>
      <w:r>
        <w:rPr>
          <w:rFonts w:hint="eastAsia" w:ascii="仿宋_GB2312" w:eastAsia="仿宋_GB2312"/>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sz w:val="32"/>
          <w:szCs w:val="32"/>
          <w:lang w:val="en-US" w:eastAsia="zh-CN"/>
        </w:rPr>
        <w:t>2.如，服务属于经营行政许可管理或者经营强制认证管理的，提供相关资质复印件</w:t>
      </w:r>
      <w:r>
        <w:rPr>
          <w:rFonts w:hint="eastAsia" w:ascii="仿宋_GB2312" w:eastAsia="仿宋_GB2312"/>
          <w:color w:val="auto"/>
          <w:sz w:val="32"/>
          <w:szCs w:val="32"/>
          <w:lang w:val="en-US" w:eastAsia="zh-CN"/>
        </w:rPr>
        <w:t>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（二）参与人员资质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附件1</w:t>
      </w:r>
      <w:r>
        <w:rPr>
          <w:rFonts w:hint="eastAsia" w:ascii="仿宋_GB2312" w:hAnsi="仿宋_GB2312" w:eastAsia="仿宋_GB2312" w:cs="仿宋_GB2312"/>
          <w:sz w:val="32"/>
          <w:szCs w:val="32"/>
          <w:lang w:val="en-US" w:eastAsia="zh-CN"/>
        </w:rPr>
        <w:t>格式的《法人授权委托书》1份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（三）报价单</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u w:val="single"/>
          <w:lang w:val="en-US" w:eastAsia="zh-CN"/>
        </w:rPr>
        <w:t>附件2</w:t>
      </w:r>
      <w:r>
        <w:rPr>
          <w:rFonts w:hint="eastAsia" w:ascii="仿宋_GB2312" w:eastAsia="仿宋_GB2312"/>
          <w:sz w:val="32"/>
          <w:szCs w:val="32"/>
          <w:lang w:val="en-US" w:eastAsia="zh-CN"/>
        </w:rPr>
        <w:t>格式的《报价单》2份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四）服务方案与质量保障措施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自定义格式A4纸反正面打印的《服务方案与质量保障措施》2份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五）市场应用</w:t>
      </w:r>
      <w:bookmarkStart w:id="0" w:name="_GoBack"/>
      <w:bookmarkEnd w:id="0"/>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sz w:val="32"/>
          <w:szCs w:val="32"/>
          <w:u w:val="single"/>
          <w:lang w:val="en-US" w:eastAsia="zh-CN"/>
        </w:rPr>
        <w:t>附件3</w:t>
      </w:r>
      <w:r>
        <w:rPr>
          <w:rFonts w:hint="eastAsia" w:ascii="仿宋_GB2312" w:eastAsia="仿宋_GB2312"/>
          <w:sz w:val="32"/>
          <w:szCs w:val="32"/>
          <w:lang w:val="en-US" w:eastAsia="zh-CN"/>
        </w:rPr>
        <w:t>格式的服务商《市场应用/对外服务情况表》2份（顺序为威海区域在前，其他区域在后，数量不超过20家）</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（六）其他资料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原则上不需要提供其他资料，但如果供应商认为确有必要提供的，可提供不超过2种、每种1份的其他资料。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以上（一）至（六）严格按照要求的种类、数量、顺序整理为一套资料（严禁乱提供非本函要求的资料），每页加盖参与论证公司的红章，使用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（一）医院接受供应商在论证前的合理时间来院勘查与咨询，但在来院前需要与医院招标办联系确定相关事宜。</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参与供应商在论证当日签到时，应当同时确认与其他参与供应商无出资、隶属、关联或者实际控制关系。存在上述关系的供应商，只能有一家参与论证。隐瞒、漏报上述关系的，医院将取消全部关联供应商的参与资格，已经获取推荐意见的，推荐意见作废。</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Style w:val="11"/>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3.市场应用/对外服务情况表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4.报名信息表</w:t>
      </w:r>
    </w:p>
    <w:p>
      <w:pPr>
        <w:rPr>
          <w:rFonts w:hint="eastAsia" w:ascii="仿宋_GB2312" w:hAnsi="仿宋_GB2312" w:eastAsia="仿宋_GB2312" w:cs="仿宋_GB2312"/>
          <w:sz w:val="32"/>
          <w:szCs w:val="32"/>
          <w:lang w:val="en-US" w:eastAsia="zh-CN"/>
        </w:rPr>
      </w:pPr>
    </w:p>
    <w:p>
      <w:pPr>
        <w:pStyle w:val="2"/>
        <w:ind w:left="0" w:leftChars="0" w:firstLine="0" w:firstLineChars="0"/>
        <w:rPr>
          <w:rFonts w:hint="eastAsia"/>
          <w:lang w:val="en-US" w:eastAsia="zh-CN"/>
        </w:rPr>
      </w:pPr>
    </w:p>
    <w:p>
      <w:pPr>
        <w:ind w:firstLine="4480" w:firstLineChars="1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2023年4月3日</w:t>
      </w:r>
      <w:r>
        <w:rPr>
          <w:rFonts w:hint="eastAsia" w:ascii="仿宋_GB2312" w:hAnsi="仿宋_GB2312" w:eastAsia="仿宋_GB2312" w:cs="仿宋_GB2312"/>
          <w:b w:val="0"/>
          <w:bCs w:val="0"/>
          <w:color w:val="auto"/>
          <w:sz w:val="32"/>
          <w:szCs w:val="32"/>
          <w:u w:val="single"/>
          <w:lang w:val="en-US" w:eastAsia="zh-CN"/>
        </w:rPr>
        <w:br w:type="page"/>
      </w:r>
    </w:p>
    <w:p>
      <w:pPr>
        <w:pStyle w:val="7"/>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p>
    <w:p>
      <w:pPr>
        <w:pStyle w:val="7"/>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（项目编号）项目的综合论证，并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40" w:hRule="atLeast"/>
        </w:trPr>
        <w:tc>
          <w:tcPr>
            <w:tcW w:w="8522" w:type="dxa"/>
          </w:tcPr>
          <w:p>
            <w:pPr>
              <w:pStyle w:val="7"/>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sz w:val="13"/>
          <w:szCs w:val="13"/>
          <w:lang w:val="en-US" w:eastAsia="zh-CN"/>
        </w:rPr>
        <w:sectPr>
          <w:pgSz w:w="11906" w:h="16838"/>
          <w:pgMar w:top="1440" w:right="1803" w:bottom="1440" w:left="1803" w:header="851" w:footer="992" w:gutter="0"/>
          <w:cols w:space="0" w:num="1"/>
          <w:rtlGutter w:val="0"/>
          <w:docGrid w:type="lines" w:linePitch="319" w:charSpace="0"/>
        </w:sectPr>
      </w:pPr>
      <w:r>
        <w:rPr>
          <w:rFonts w:hint="eastAsia" w:ascii="仿宋_GB2312" w:hAnsi="仿宋_GB2312" w:eastAsia="仿宋_GB2312" w:cs="仿宋_GB2312"/>
          <w:sz w:val="13"/>
          <w:szCs w:val="13"/>
          <w:lang w:val="en-US" w:eastAsia="zh-CN"/>
        </w:rPr>
        <w:br w:type="page"/>
      </w:r>
    </w:p>
    <w:p>
      <w:pPr>
        <w:pStyle w:val="7"/>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7"/>
        <w:spacing w:line="520" w:lineRule="exact"/>
        <w:jc w:val="both"/>
        <w:rPr>
          <w:rFonts w:hint="eastAsia" w:ascii="仿宋_GB2312" w:hAnsi="仿宋_GB2312" w:eastAsia="仿宋_GB2312" w:cs="仿宋_GB2312"/>
          <w:b w:val="0"/>
          <w:bCs/>
          <w:sz w:val="32"/>
          <w:szCs w:val="32"/>
          <w:lang w:val="en-US" w:eastAsia="zh-CN"/>
        </w:rPr>
      </w:pP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3"/>
        <w:tblW w:w="8502"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2"/>
        <w:gridCol w:w="3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4662"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服务内容</w:t>
            </w:r>
          </w:p>
        </w:tc>
        <w:tc>
          <w:tcPr>
            <w:tcW w:w="3840"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服务价格（元）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4662"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TCT检测</w:t>
            </w:r>
          </w:p>
        </w:tc>
        <w:tc>
          <w:tcPr>
            <w:tcW w:w="3840" w:type="dxa"/>
            <w:vAlign w:val="center"/>
          </w:tcPr>
          <w:p>
            <w:pPr>
              <w:jc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4662"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HPV检测</w:t>
            </w:r>
          </w:p>
        </w:tc>
        <w:tc>
          <w:tcPr>
            <w:tcW w:w="3840" w:type="dxa"/>
            <w:vAlign w:val="center"/>
          </w:tcPr>
          <w:p>
            <w:pPr>
              <w:jc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0" w:hRule="atLeast"/>
        </w:trPr>
        <w:tc>
          <w:tcPr>
            <w:tcW w:w="8502" w:type="dxa"/>
            <w:gridSpan w:val="2"/>
            <w:vAlign w:val="center"/>
          </w:tcPr>
          <w:p>
            <w:pPr>
              <w:jc w:val="both"/>
              <w:rPr>
                <w:rFonts w:hint="eastAsia" w:ascii="仿宋_GB2312" w:hAnsi="仿宋_GB2312" w:eastAsia="仿宋_GB2312" w:cs="仿宋_GB2312"/>
                <w:color w:val="auto"/>
                <w:sz w:val="24"/>
                <w:szCs w:val="24"/>
                <w:vertAlign w:val="baseline"/>
                <w:lang w:val="en-US" w:eastAsia="zh-CN"/>
              </w:rPr>
            </w:pPr>
          </w:p>
          <w:p>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报告出具时间：</w:t>
            </w:r>
          </w:p>
          <w:p>
            <w:pPr>
              <w:rPr>
                <w:rFonts w:hint="eastAsia" w:ascii="仿宋_GB2312" w:hAnsi="仿宋_GB2312" w:eastAsia="仿宋_GB2312" w:cs="仿宋_GB2312"/>
                <w:color w:val="auto"/>
                <w:sz w:val="24"/>
                <w:szCs w:val="24"/>
                <w:vertAlign w:val="baseline"/>
                <w:lang w:val="en-US" w:eastAsia="zh-CN"/>
              </w:rPr>
            </w:pPr>
          </w:p>
          <w:p>
            <w:pPr>
              <w:pStyle w:val="2"/>
              <w:ind w:left="0" w:leftChars="0" w:firstLine="0" w:firstLineChars="0"/>
              <w:rPr>
                <w:rFonts w:hint="eastAsia"/>
                <w:lang w:val="en-US" w:eastAsia="zh-CN"/>
              </w:rPr>
            </w:pPr>
          </w:p>
        </w:tc>
      </w:tr>
    </w:tbl>
    <w:p>
      <w:pPr>
        <w:pStyle w:val="2"/>
        <w:rPr>
          <w:rFonts w:hint="eastAsia"/>
          <w:lang w:val="en-US" w:eastAsia="zh-CN"/>
        </w:rPr>
      </w:pPr>
    </w:p>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必须满足的付款要求和对于报价的追加说明（如有）：</w:t>
      </w: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参与供应商盖章：</w:t>
      </w: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市场应用/对外服务情况表</w:t>
      </w:r>
    </w:p>
    <w:tbl>
      <w:tblPr>
        <w:tblStyle w:val="13"/>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产品/服务采购单位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jc w:val="center"/>
        <w:rPr>
          <w:rFonts w:hint="eastAsia" w:ascii="仿宋_GB2312" w:hAnsi="仿宋_GB2312" w:eastAsia="仿宋_GB2312" w:cs="仿宋_GB2312"/>
          <w:b/>
          <w:bCs/>
          <w:sz w:val="24"/>
          <w:szCs w:val="24"/>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参与公司盖章：</w:t>
      </w: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pP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方正小标宋简体" w:hAnsi="方正小标宋简体" w:eastAsia="方正小标宋简体" w:cs="方正小标宋简体"/>
          <w:b w:val="0"/>
          <w:bCs/>
          <w:sz w:val="44"/>
          <w:szCs w:val="44"/>
          <w:lang w:val="en-US"/>
        </w:rPr>
      </w:pPr>
      <w:r>
        <w:rPr>
          <w:rFonts w:hint="eastAsia" w:ascii="方正小标宋简体" w:hAnsi="方正小标宋简体" w:eastAsia="方正小标宋简体" w:cs="方正小标宋简体"/>
          <w:b w:val="0"/>
          <w:bCs/>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报名信息：</w:t>
      </w:r>
    </w:p>
    <w:tbl>
      <w:tblPr>
        <w:tblStyle w:val="12"/>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rPr>
          <w:rFonts w:hint="eastAsia"/>
          <w:lang w:val="en-US" w:eastAsia="zh-CN"/>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71FF4"/>
    <w:rsid w:val="0090217C"/>
    <w:rsid w:val="01444A3C"/>
    <w:rsid w:val="02145EE5"/>
    <w:rsid w:val="0306783C"/>
    <w:rsid w:val="041012AE"/>
    <w:rsid w:val="04E36293"/>
    <w:rsid w:val="056E3308"/>
    <w:rsid w:val="05E614CE"/>
    <w:rsid w:val="06616A6F"/>
    <w:rsid w:val="06637264"/>
    <w:rsid w:val="06933336"/>
    <w:rsid w:val="072E50C6"/>
    <w:rsid w:val="0805587B"/>
    <w:rsid w:val="088966EE"/>
    <w:rsid w:val="08DC44A8"/>
    <w:rsid w:val="0A5B73EA"/>
    <w:rsid w:val="0A7105F0"/>
    <w:rsid w:val="0AE47B1E"/>
    <w:rsid w:val="0B50556E"/>
    <w:rsid w:val="0B8E74CF"/>
    <w:rsid w:val="0BC2087A"/>
    <w:rsid w:val="0C0E2D62"/>
    <w:rsid w:val="0D0328AB"/>
    <w:rsid w:val="0E441926"/>
    <w:rsid w:val="0E5674D9"/>
    <w:rsid w:val="0EB466F8"/>
    <w:rsid w:val="0F4722FA"/>
    <w:rsid w:val="0FE867C1"/>
    <w:rsid w:val="0FFB437A"/>
    <w:rsid w:val="11147823"/>
    <w:rsid w:val="112A7A9F"/>
    <w:rsid w:val="125F6671"/>
    <w:rsid w:val="12ED60D3"/>
    <w:rsid w:val="14A508DD"/>
    <w:rsid w:val="15CF09FC"/>
    <w:rsid w:val="17450FC9"/>
    <w:rsid w:val="1753483A"/>
    <w:rsid w:val="178D4F7E"/>
    <w:rsid w:val="178F45DF"/>
    <w:rsid w:val="1940115E"/>
    <w:rsid w:val="19F52E2A"/>
    <w:rsid w:val="1A8A24E8"/>
    <w:rsid w:val="1C672275"/>
    <w:rsid w:val="1FDB1034"/>
    <w:rsid w:val="1FF86EBC"/>
    <w:rsid w:val="209100DD"/>
    <w:rsid w:val="214573E3"/>
    <w:rsid w:val="21A437E9"/>
    <w:rsid w:val="21E03505"/>
    <w:rsid w:val="21F44340"/>
    <w:rsid w:val="23597745"/>
    <w:rsid w:val="24314357"/>
    <w:rsid w:val="24A3598F"/>
    <w:rsid w:val="27C129C2"/>
    <w:rsid w:val="28460323"/>
    <w:rsid w:val="297D10C1"/>
    <w:rsid w:val="29B47B51"/>
    <w:rsid w:val="2A613BCD"/>
    <w:rsid w:val="2AEB5BAA"/>
    <w:rsid w:val="2BC4525D"/>
    <w:rsid w:val="2BF70ED7"/>
    <w:rsid w:val="2C544788"/>
    <w:rsid w:val="2D067FF6"/>
    <w:rsid w:val="2D453ECC"/>
    <w:rsid w:val="2DAA36BF"/>
    <w:rsid w:val="2E127BEC"/>
    <w:rsid w:val="2ED737AD"/>
    <w:rsid w:val="30BA749B"/>
    <w:rsid w:val="326C6156"/>
    <w:rsid w:val="32EB18B3"/>
    <w:rsid w:val="33B8159B"/>
    <w:rsid w:val="33DD3CC2"/>
    <w:rsid w:val="349D7AB3"/>
    <w:rsid w:val="34C424EB"/>
    <w:rsid w:val="3507227E"/>
    <w:rsid w:val="35B14893"/>
    <w:rsid w:val="364C6A4B"/>
    <w:rsid w:val="378B19B6"/>
    <w:rsid w:val="3813353A"/>
    <w:rsid w:val="38541E24"/>
    <w:rsid w:val="39276138"/>
    <w:rsid w:val="3AA917C6"/>
    <w:rsid w:val="3AB050B1"/>
    <w:rsid w:val="3BE22435"/>
    <w:rsid w:val="3BE91C1D"/>
    <w:rsid w:val="3C274923"/>
    <w:rsid w:val="3C732980"/>
    <w:rsid w:val="3DCE5711"/>
    <w:rsid w:val="3E7F198B"/>
    <w:rsid w:val="3FE43A2E"/>
    <w:rsid w:val="40A34F94"/>
    <w:rsid w:val="40B04556"/>
    <w:rsid w:val="40F724E5"/>
    <w:rsid w:val="418330F5"/>
    <w:rsid w:val="453C4CFD"/>
    <w:rsid w:val="45C97AD5"/>
    <w:rsid w:val="46F964AC"/>
    <w:rsid w:val="4A306100"/>
    <w:rsid w:val="4D670A56"/>
    <w:rsid w:val="4E17470B"/>
    <w:rsid w:val="4E4E6FD0"/>
    <w:rsid w:val="501713DB"/>
    <w:rsid w:val="5026344A"/>
    <w:rsid w:val="5037594C"/>
    <w:rsid w:val="50556763"/>
    <w:rsid w:val="50B57FBF"/>
    <w:rsid w:val="51491C22"/>
    <w:rsid w:val="518542D3"/>
    <w:rsid w:val="518E7743"/>
    <w:rsid w:val="51965E4E"/>
    <w:rsid w:val="51F17CF9"/>
    <w:rsid w:val="51FE2564"/>
    <w:rsid w:val="528D6E2B"/>
    <w:rsid w:val="53635859"/>
    <w:rsid w:val="54571857"/>
    <w:rsid w:val="54AF3AFE"/>
    <w:rsid w:val="54B35F20"/>
    <w:rsid w:val="55223F2F"/>
    <w:rsid w:val="55A40E96"/>
    <w:rsid w:val="56051444"/>
    <w:rsid w:val="566950FE"/>
    <w:rsid w:val="5712074C"/>
    <w:rsid w:val="57AA66E5"/>
    <w:rsid w:val="5AFE414F"/>
    <w:rsid w:val="5C1E32DA"/>
    <w:rsid w:val="5C6309D2"/>
    <w:rsid w:val="5CD9233A"/>
    <w:rsid w:val="5CEE3FCD"/>
    <w:rsid w:val="5D0A749E"/>
    <w:rsid w:val="5D5413FE"/>
    <w:rsid w:val="5D59659E"/>
    <w:rsid w:val="5D9B7C91"/>
    <w:rsid w:val="5DA24171"/>
    <w:rsid w:val="5EC42E35"/>
    <w:rsid w:val="618A062A"/>
    <w:rsid w:val="61FC1036"/>
    <w:rsid w:val="635E2524"/>
    <w:rsid w:val="639C74DA"/>
    <w:rsid w:val="63C263F6"/>
    <w:rsid w:val="63CB7229"/>
    <w:rsid w:val="64F07963"/>
    <w:rsid w:val="66E05971"/>
    <w:rsid w:val="670B1023"/>
    <w:rsid w:val="67546B91"/>
    <w:rsid w:val="67782713"/>
    <w:rsid w:val="68E54E59"/>
    <w:rsid w:val="691F65AA"/>
    <w:rsid w:val="69252342"/>
    <w:rsid w:val="69CB420D"/>
    <w:rsid w:val="69D86BC2"/>
    <w:rsid w:val="6A8A60CE"/>
    <w:rsid w:val="6B870862"/>
    <w:rsid w:val="6BAB4EF0"/>
    <w:rsid w:val="6C520E78"/>
    <w:rsid w:val="6CAE73BD"/>
    <w:rsid w:val="6D373CB7"/>
    <w:rsid w:val="6DF6410C"/>
    <w:rsid w:val="6E955349"/>
    <w:rsid w:val="6F4F362C"/>
    <w:rsid w:val="70BA437F"/>
    <w:rsid w:val="71E73A79"/>
    <w:rsid w:val="72DB2E88"/>
    <w:rsid w:val="735D5523"/>
    <w:rsid w:val="76D4524B"/>
    <w:rsid w:val="76D5087A"/>
    <w:rsid w:val="76F774A3"/>
    <w:rsid w:val="77305324"/>
    <w:rsid w:val="77D17783"/>
    <w:rsid w:val="77EA40F6"/>
    <w:rsid w:val="78080ACE"/>
    <w:rsid w:val="78206C1D"/>
    <w:rsid w:val="790D0676"/>
    <w:rsid w:val="79370F44"/>
    <w:rsid w:val="79A36766"/>
    <w:rsid w:val="7A9F7EA6"/>
    <w:rsid w:val="7B034F40"/>
    <w:rsid w:val="7BBD6CAF"/>
    <w:rsid w:val="7BF62302"/>
    <w:rsid w:val="7CDA444A"/>
    <w:rsid w:val="7E33156A"/>
    <w:rsid w:val="7ECA3EAC"/>
    <w:rsid w:val="7ECD0F74"/>
    <w:rsid w:val="7FB82230"/>
    <w:rsid w:val="7FD332B7"/>
    <w:rsid w:val="7FDF3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5"/>
    <w:qFormat/>
    <w:uiPriority w:val="0"/>
    <w:pPr>
      <w:keepNext w:val="0"/>
      <w:keepLines w:val="0"/>
      <w:adjustRightInd w:val="0"/>
      <w:snapToGrid w:val="0"/>
      <w:spacing w:beforeLines="0" w:beforeAutospacing="0" w:afterLines="0" w:afterAutospacing="0" w:line="360" w:lineRule="auto"/>
      <w:jc w:val="center"/>
      <w:outlineLvl w:val="0"/>
    </w:pPr>
    <w:rPr>
      <w:rFonts w:eastAsia="方正小标宋简体" w:cs="方正小标宋简体"/>
      <w:sz w:val="44"/>
      <w:szCs w:val="44"/>
    </w:rPr>
  </w:style>
  <w:style w:type="character" w:default="1" w:styleId="10">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5">
    <w:name w:val="Body Text First Indent"/>
    <w:basedOn w:val="1"/>
    <w:qFormat/>
    <w:uiPriority w:val="0"/>
    <w:pPr>
      <w:snapToGrid w:val="0"/>
      <w:ind w:firstLine="640" w:firstLineChars="200"/>
    </w:pPr>
  </w:style>
  <w:style w:type="paragraph" w:styleId="6">
    <w:name w:val="Body Text"/>
    <w:basedOn w:val="1"/>
    <w:qFormat/>
    <w:uiPriority w:val="0"/>
    <w:pPr>
      <w:spacing w:line="300" w:lineRule="exact"/>
    </w:pPr>
    <w:rPr>
      <w:rFonts w:ascii="宋体" w:hAnsi="宋体"/>
      <w:sz w:val="24"/>
    </w:rPr>
  </w:style>
  <w:style w:type="paragraph" w:styleId="7">
    <w:name w:val="Plain Text"/>
    <w:basedOn w:val="1"/>
    <w:qFormat/>
    <w:uiPriority w:val="0"/>
    <w:rPr>
      <w:rFonts w:ascii="宋体" w:hAnsi="Courier New"/>
      <w:szCs w:val="20"/>
    </w:rPr>
  </w:style>
  <w:style w:type="paragraph" w:styleId="8">
    <w:name w:val="footer"/>
    <w:basedOn w:val="1"/>
    <w:semiHidden/>
    <w:unhideWhenUsed/>
    <w:qFormat/>
    <w:uiPriority w:val="99"/>
    <w:pPr>
      <w:tabs>
        <w:tab w:val="center" w:pos="4153"/>
        <w:tab w:val="right" w:pos="8306"/>
      </w:tabs>
      <w:snapToGrid w:val="0"/>
      <w:jc w:val="left"/>
    </w:pPr>
    <w:rPr>
      <w:sz w:val="18"/>
      <w:szCs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11">
    <w:name w:val="Hyperlink"/>
    <w:basedOn w:val="10"/>
    <w:semiHidden/>
    <w:unhideWhenUsed/>
    <w:qFormat/>
    <w:uiPriority w:val="99"/>
    <w:rPr>
      <w:color w:val="0000FF"/>
      <w:u w:val="single"/>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4">
    <w:name w:val="font01"/>
    <w:basedOn w:val="10"/>
    <w:qFormat/>
    <w:uiPriority w:val="0"/>
    <w:rPr>
      <w:rFonts w:hint="default" w:ascii="Times New Roman" w:hAnsi="Times New Roman" w:cs="Times New Roman"/>
      <w:color w:val="0000FF"/>
      <w:sz w:val="21"/>
      <w:szCs w:val="21"/>
      <w:u w:val="none"/>
    </w:rPr>
  </w:style>
  <w:style w:type="character" w:customStyle="1" w:styleId="15">
    <w:name w:val="font21"/>
    <w:basedOn w:val="10"/>
    <w:qFormat/>
    <w:uiPriority w:val="0"/>
    <w:rPr>
      <w:rFonts w:hint="eastAsia" w:ascii="宋体" w:hAnsi="宋体" w:eastAsia="宋体" w:cs="宋体"/>
      <w:color w:val="0000FF"/>
      <w:sz w:val="21"/>
      <w:szCs w:val="21"/>
      <w:u w:val="none"/>
    </w:rPr>
  </w:style>
  <w:style w:type="character" w:customStyle="1" w:styleId="16">
    <w:name w:val="font11"/>
    <w:basedOn w:val="10"/>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2023-03-24T03:29:34Z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