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编号LZ2022-23XX的以电子病历为核心的信息系统三级等保测评服务项目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2022年10月13日14:00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医院以电子病历为核心的信息系统三级等保测评服务。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2022年10月12日12:00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2022年10月8日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tbl>
      <w:tblPr>
        <w:tblStyle w:val="12"/>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以电子病历为核心的信息系统三级等保测评服务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24188C"/>
    <w:rsid w:val="09FB6A6E"/>
    <w:rsid w:val="0A5B73EA"/>
    <w:rsid w:val="0A7105F0"/>
    <w:rsid w:val="0AE47B1E"/>
    <w:rsid w:val="0B50556E"/>
    <w:rsid w:val="0BC2087A"/>
    <w:rsid w:val="0C0E2D62"/>
    <w:rsid w:val="0D0328AB"/>
    <w:rsid w:val="0D0D511E"/>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A437E9"/>
    <w:rsid w:val="21E03505"/>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105DA4"/>
    <w:rsid w:val="51491C22"/>
    <w:rsid w:val="518542D3"/>
    <w:rsid w:val="518E7743"/>
    <w:rsid w:val="51965E4E"/>
    <w:rsid w:val="51F17CF9"/>
    <w:rsid w:val="51FE2564"/>
    <w:rsid w:val="528D6E2B"/>
    <w:rsid w:val="53635859"/>
    <w:rsid w:val="54571857"/>
    <w:rsid w:val="54AF3AFE"/>
    <w:rsid w:val="54B35F20"/>
    <w:rsid w:val="55223F2F"/>
    <w:rsid w:val="5712074C"/>
    <w:rsid w:val="59607C41"/>
    <w:rsid w:val="5AFE414F"/>
    <w:rsid w:val="5C1E32DA"/>
    <w:rsid w:val="5C2549CD"/>
    <w:rsid w:val="5C6309D2"/>
    <w:rsid w:val="5CEE3FCD"/>
    <w:rsid w:val="5D0A749E"/>
    <w:rsid w:val="5D9B7C91"/>
    <w:rsid w:val="5DA24171"/>
    <w:rsid w:val="5EC42E35"/>
    <w:rsid w:val="618A062A"/>
    <w:rsid w:val="639C74DA"/>
    <w:rsid w:val="63CB7229"/>
    <w:rsid w:val="64CC686A"/>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2022-09-30T00:30:07Z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