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_GB2312" w:hAnsi="仿宋_GB2312" w:eastAsia="仿宋_GB2312" w:cs="仿宋_GB2312"/>
          <w:sz w:val="44"/>
          <w:szCs w:val="44"/>
          <w:lang w:val="en-US" w:eastAsia="zh-CN"/>
        </w:rPr>
      </w:pPr>
    </w:p>
    <w:p>
      <w:pPr>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lang w:val="en-US" w:eastAsia="zh-CN"/>
        </w:rPr>
        <w:t>关于邀请参加项目采购前综合</w:t>
      </w:r>
      <w:r>
        <w:rPr>
          <w:rFonts w:hint="eastAsia" w:ascii="仿宋_GB2312" w:hAnsi="仿宋_GB2312" w:eastAsia="仿宋_GB2312" w:cs="仿宋_GB2312"/>
          <w:b/>
          <w:bCs/>
          <w:sz w:val="44"/>
          <w:szCs w:val="44"/>
        </w:rPr>
        <w:t>论证</w:t>
      </w:r>
      <w:r>
        <w:rPr>
          <w:rFonts w:hint="eastAsia" w:ascii="仿宋_GB2312" w:hAnsi="仿宋_GB2312" w:eastAsia="仿宋_GB2312" w:cs="仿宋_GB2312"/>
          <w:b/>
          <w:bCs/>
          <w:sz w:val="44"/>
          <w:szCs w:val="44"/>
          <w:lang w:val="en-US" w:eastAsia="zh-CN"/>
        </w:rPr>
        <w:t>的函</w:t>
      </w:r>
    </w:p>
    <w:p>
      <w:pPr>
        <w:rPr>
          <w:rFonts w:hint="eastAsia" w:ascii="仿宋_GB2312" w:hAnsi="仿宋_GB2312" w:eastAsia="仿宋_GB2312" w:cs="仿宋_GB2312"/>
          <w:b/>
          <w:bCs/>
          <w:sz w:val="32"/>
          <w:szCs w:val="32"/>
          <w:lang w:val="en-US" w:eastAsia="zh-CN"/>
        </w:rPr>
      </w:pPr>
    </w:p>
    <w:p>
      <w:pPr>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各相关供应商：</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威海市立第三医院拟</w:t>
      </w:r>
      <w:r>
        <w:rPr>
          <w:rFonts w:hint="eastAsia" w:ascii="仿宋_GB2312" w:hAnsi="仿宋_GB2312" w:eastAsia="仿宋_GB2312" w:cs="仿宋_GB2312"/>
          <w:color w:val="auto"/>
          <w:sz w:val="32"/>
          <w:szCs w:val="32"/>
          <w:lang w:val="en-US" w:eastAsia="zh-CN"/>
        </w:rPr>
        <w:t>对</w:t>
      </w:r>
      <w:r>
        <w:rPr>
          <w:rFonts w:hint="eastAsia" w:ascii="仿宋_GB2312" w:hAnsi="仿宋_GB2312" w:eastAsia="仿宋_GB2312" w:cs="仿宋_GB2312"/>
          <w:color w:val="auto"/>
          <w:sz w:val="32"/>
          <w:szCs w:val="32"/>
          <w:u w:val="single"/>
          <w:lang w:val="en-US" w:eastAsia="zh-CN"/>
        </w:rPr>
        <w:t>编号LZ2022-11AB的电气火灾监控系统项目</w:t>
      </w:r>
      <w:r>
        <w:rPr>
          <w:rFonts w:hint="eastAsia" w:ascii="仿宋_GB2312" w:hAnsi="仿宋_GB2312" w:eastAsia="仿宋_GB2312" w:cs="仿宋_GB2312"/>
          <w:color w:val="auto"/>
          <w:sz w:val="32"/>
          <w:szCs w:val="32"/>
          <w:lang w:val="en-US" w:eastAsia="zh-CN"/>
        </w:rPr>
        <w:t>实施采购前综合论证，欢迎</w:t>
      </w:r>
      <w:r>
        <w:rPr>
          <w:rFonts w:hint="eastAsia" w:ascii="仿宋_GB2312" w:hAnsi="仿宋_GB2312" w:eastAsia="仿宋_GB2312" w:cs="仿宋_GB2312"/>
          <w:sz w:val="32"/>
          <w:szCs w:val="32"/>
          <w:lang w:val="en-US" w:eastAsia="zh-CN"/>
        </w:rPr>
        <w:t>相关供应商积极参与。</w:t>
      </w:r>
    </w:p>
    <w:p>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拟参与供应商务必全面、认真阅读本函所有内容，并严格按本函要求落实参与事宜。未按要求履行程序或者未按要求提供资料的供应商，无法取得参与资格。</w:t>
      </w:r>
    </w:p>
    <w:p>
      <w:pPr>
        <w:numPr>
          <w:ilvl w:val="0"/>
          <w:numId w:val="0"/>
        </w:num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一、论证的时间</w:t>
      </w:r>
    </w:p>
    <w:p>
      <w:pPr>
        <w:numPr>
          <w:ilvl w:val="0"/>
          <w:numId w:val="0"/>
        </w:numPr>
        <w:ind w:firstLine="640"/>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2022年7月21日14:30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14:15至14:25</w:t>
      </w:r>
      <w:r>
        <w:rPr>
          <w:rFonts w:hint="eastAsia" w:ascii="仿宋_GB2312" w:hAnsi="仿宋_GB2312" w:eastAsia="仿宋_GB2312" w:cs="仿宋_GB2312"/>
          <w:color w:val="auto"/>
          <w:sz w:val="32"/>
          <w:szCs w:val="32"/>
          <w:u w:val="none"/>
          <w:lang w:val="en-US" w:eastAsia="zh-CN"/>
        </w:rPr>
        <w:t>签到</w:t>
      </w:r>
    </w:p>
    <w:p>
      <w:pPr>
        <w:numPr>
          <w:ilvl w:val="0"/>
          <w:numId w:val="0"/>
        </w:numPr>
        <w:ind w:firstLine="64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二、论证的地点</w:t>
      </w:r>
    </w:p>
    <w:p>
      <w:pPr>
        <w:numPr>
          <w:ilvl w:val="0"/>
          <w:numId w:val="0"/>
        </w:numPr>
        <w:ind w:firstLine="640"/>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lang w:val="en-US" w:eastAsia="zh-CN"/>
        </w:rPr>
        <w:t>威海市立第三医院</w:t>
      </w:r>
      <w:r>
        <w:rPr>
          <w:rFonts w:hint="eastAsia" w:ascii="仿宋_GB2312" w:hAnsi="仿宋_GB2312" w:eastAsia="仿宋_GB2312" w:cs="仿宋_GB2312"/>
          <w:sz w:val="32"/>
          <w:szCs w:val="32"/>
          <w:u w:val="single"/>
          <w:lang w:val="en-US" w:eastAsia="zh-CN"/>
        </w:rPr>
        <w:t>三楼西区第二会议室</w:t>
      </w:r>
    </w:p>
    <w:p>
      <w:pPr>
        <w:numPr>
          <w:ilvl w:val="0"/>
          <w:numId w:val="0"/>
        </w:numPr>
        <w:ind w:firstLine="640"/>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auto"/>
          <w:sz w:val="32"/>
          <w:szCs w:val="32"/>
          <w:u w:val="none"/>
          <w:lang w:val="en-US" w:eastAsia="zh-CN"/>
        </w:rPr>
        <w:t>医院整体建筑内电气火灾监控系统软硬件及配套服务。</w:t>
      </w:r>
    </w:p>
    <w:p>
      <w:pPr>
        <w:keepNext w:val="0"/>
        <w:keepLines w:val="0"/>
        <w:pageBreakBefore w:val="0"/>
        <w:widowControl w:val="0"/>
        <w:kinsoku/>
        <w:wordWrap/>
        <w:overflowPunct/>
        <w:topLinePunct w:val="0"/>
        <w:autoSpaceDE/>
        <w:autoSpaceDN/>
        <w:bidi w:val="0"/>
        <w:adjustRightInd/>
        <w:snapToGrid/>
        <w:spacing w:line="240" w:lineRule="atLeas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本项目为涵盖设计、采购、施工、工程配套等在内的交钥匙工程。</w:t>
      </w:r>
    </w:p>
    <w:p>
      <w:pPr>
        <w:keepNext w:val="0"/>
        <w:keepLines w:val="0"/>
        <w:pageBreakBefore w:val="0"/>
        <w:widowControl w:val="0"/>
        <w:kinsoku/>
        <w:wordWrap/>
        <w:overflowPunct/>
        <w:topLinePunct w:val="0"/>
        <w:autoSpaceDE/>
        <w:autoSpaceDN/>
        <w:bidi w:val="0"/>
        <w:adjustRightInd/>
        <w:snapToGrid/>
        <w:spacing w:line="240" w:lineRule="atLeas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sz w:val="32"/>
          <w:szCs w:val="32"/>
          <w:lang w:val="en-US" w:eastAsia="zh-CN"/>
        </w:rPr>
        <w:t>四、论证的报名</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2022年7月19日17:00</w:t>
      </w:r>
      <w:r>
        <w:rPr>
          <w:rFonts w:hint="eastAsia" w:ascii="仿宋_GB2312" w:hAnsi="仿宋_GB2312" w:eastAsia="仿宋_GB2312" w:cs="仿宋_GB2312"/>
          <w:color w:val="auto"/>
          <w:sz w:val="32"/>
          <w:szCs w:val="32"/>
          <w:lang w:val="en-US" w:eastAsia="zh-CN"/>
        </w:rPr>
        <w:t>前派员</w:t>
      </w:r>
      <w:r>
        <w:rPr>
          <w:rFonts w:hint="eastAsia" w:ascii="仿宋_GB2312" w:hAnsi="仿宋_GB2312" w:eastAsia="仿宋_GB2312" w:cs="仿宋_GB2312"/>
          <w:sz w:val="32"/>
          <w:szCs w:val="32"/>
          <w:lang w:val="en-US" w:eastAsia="zh-CN"/>
        </w:rPr>
        <w:t>持公司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营业执照</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复印件1份到医院招标办报名。</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五、论证的目的与方式</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通过与供应商进行沟通与谈判，掌握相关产品与服务的质量层次、价格水平、配置方案、保障体系、市场应用等相关信息，为未来实施采购提供各类标准的依据。</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论证参照竞争性蹉商方式，商谈的顺序按照报名的先后顺序反向进行。</w:t>
      </w:r>
    </w:p>
    <w:p>
      <w:pPr>
        <w:numPr>
          <w:ilvl w:val="0"/>
          <w:numId w:val="0"/>
        </w:numPr>
        <w:ind w:firstLine="640"/>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numPr>
          <w:ilvl w:val="0"/>
          <w:numId w:val="0"/>
        </w:numPr>
        <w:ind w:firstLine="640"/>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（一）服务商资质</w:t>
      </w:r>
    </w:p>
    <w:p>
      <w:pPr>
        <w:ind w:firstLine="640" w:firstLineChars="20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w:t>
      </w:r>
      <w:r>
        <w:rPr>
          <w:rFonts w:hint="eastAsia" w:ascii="仿宋_GB2312" w:eastAsia="仿宋_GB2312"/>
          <w:sz w:val="32"/>
          <w:szCs w:val="32"/>
        </w:rPr>
        <w:t>营业执照</w:t>
      </w:r>
      <w:r>
        <w:rPr>
          <w:rFonts w:hint="eastAsia" w:ascii="仿宋_GB2312" w:eastAsia="仿宋_GB2312"/>
          <w:sz w:val="32"/>
          <w:szCs w:val="32"/>
          <w:lang w:eastAsia="zh-CN"/>
        </w:rPr>
        <w:t>》</w:t>
      </w:r>
      <w:r>
        <w:rPr>
          <w:rFonts w:hint="eastAsia" w:ascii="仿宋_GB2312" w:eastAsia="仿宋_GB2312"/>
          <w:sz w:val="32"/>
          <w:szCs w:val="32"/>
        </w:rPr>
        <w:t>复印件</w:t>
      </w:r>
      <w:r>
        <w:rPr>
          <w:rFonts w:hint="eastAsia" w:ascii="仿宋_GB2312" w:eastAsia="仿宋_GB2312"/>
          <w:sz w:val="32"/>
          <w:szCs w:val="32"/>
          <w:lang w:val="en-US" w:eastAsia="zh-CN"/>
        </w:rPr>
        <w:t>1</w:t>
      </w:r>
      <w:r>
        <w:rPr>
          <w:rFonts w:hint="eastAsia" w:ascii="仿宋_GB2312" w:eastAsia="仿宋_GB2312"/>
          <w:sz w:val="32"/>
          <w:szCs w:val="32"/>
        </w:rPr>
        <w:t>份</w:t>
      </w:r>
    </w:p>
    <w:p>
      <w:pPr>
        <w:ind w:firstLine="640" w:firstLineChars="200"/>
        <w:rPr>
          <w:rFonts w:hint="eastAsia" w:ascii="仿宋_GB2312" w:eastAsia="仿宋_GB2312"/>
          <w:color w:val="auto"/>
          <w:sz w:val="32"/>
          <w:szCs w:val="32"/>
          <w:lang w:val="en-US" w:eastAsia="zh-CN"/>
        </w:rPr>
      </w:pPr>
      <w:r>
        <w:rPr>
          <w:rFonts w:hint="eastAsia" w:ascii="仿宋_GB2312" w:eastAsia="仿宋_GB2312"/>
          <w:sz w:val="32"/>
          <w:szCs w:val="32"/>
          <w:lang w:val="en-US" w:eastAsia="zh-CN"/>
        </w:rPr>
        <w:t>2.如，服务属于经营行政许可管理或者经营强制认证管理的，提供相关资质复印件</w:t>
      </w:r>
      <w:r>
        <w:rPr>
          <w:rFonts w:hint="eastAsia" w:ascii="仿宋_GB2312" w:eastAsia="仿宋_GB2312"/>
          <w:color w:val="auto"/>
          <w:sz w:val="32"/>
          <w:szCs w:val="32"/>
          <w:lang w:val="en-US" w:eastAsia="zh-CN"/>
        </w:rPr>
        <w:t>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（二）参与人员资质</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附件1格式的《法人授权委托书》1份</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（三）报价单</w:t>
      </w:r>
    </w:p>
    <w:p>
      <w:pPr>
        <w:ind w:firstLine="640" w:firstLineChars="200"/>
        <w:rPr>
          <w:rFonts w:hint="eastAsia" w:ascii="仿宋_GB2312" w:eastAsia="仿宋_GB2312"/>
          <w:sz w:val="32"/>
          <w:szCs w:val="32"/>
          <w:lang w:val="en-US" w:eastAsia="zh-CN"/>
        </w:rPr>
      </w:pPr>
      <w:r>
        <w:rPr>
          <w:rFonts w:hint="eastAsia" w:ascii="仿宋_GB2312" w:eastAsia="仿宋_GB2312"/>
          <w:sz w:val="32"/>
          <w:szCs w:val="32"/>
          <w:lang w:val="en-US" w:eastAsia="zh-CN"/>
        </w:rPr>
        <w:t>自定义格式的《报价单》4份，写明工期和必须满足的付款方式（如有）</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四）服务方案与质量保障措施</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自定义格式A4纸反正面打印的《工程服务方案与质量保障措施》4份（每份使用不超过3张A4纸）</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五）市场应用</w:t>
      </w:r>
    </w:p>
    <w:p>
      <w:pPr>
        <w:ind w:firstLine="640" w:firstLineChars="200"/>
        <w:rPr>
          <w:rFonts w:hint="eastAsia" w:ascii="仿宋_GB2312" w:hAnsi="仿宋_GB2312" w:eastAsia="仿宋_GB2312" w:cs="仿宋_GB2312"/>
          <w:color w:val="auto"/>
          <w:sz w:val="32"/>
          <w:szCs w:val="32"/>
          <w:lang w:val="en-US" w:eastAsia="zh-CN"/>
        </w:rPr>
      </w:pPr>
      <w:r>
        <w:rPr>
          <w:rFonts w:hint="eastAsia" w:ascii="仿宋_GB2312" w:eastAsia="仿宋_GB2312"/>
          <w:sz w:val="32"/>
          <w:szCs w:val="32"/>
          <w:lang w:val="en-US" w:eastAsia="zh-CN"/>
        </w:rPr>
        <w:t>附件2格式的服务商《对外服务情况表》4份（顺序为威海区域在前，其他区域在后，数量不超过20家）</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color w:val="auto"/>
          <w:sz w:val="32"/>
          <w:szCs w:val="32"/>
          <w:lang w:val="en-US" w:eastAsia="zh-CN"/>
        </w:rPr>
        <w:t>（六）</w:t>
      </w:r>
      <w:r>
        <w:rPr>
          <w:rFonts w:hint="eastAsia" w:ascii="仿宋_GB2312" w:hAnsi="仿宋_GB2312" w:eastAsia="仿宋_GB2312" w:cs="仿宋_GB2312"/>
          <w:b/>
          <w:bCs/>
          <w:sz w:val="32"/>
          <w:szCs w:val="32"/>
          <w:lang w:val="en-US" w:eastAsia="zh-CN"/>
        </w:rPr>
        <w:t>其他资料</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原则上不需提供其他资料，但如果商认为确有必要追加提供的，可提供不超过2种、每种1份的其他资料</w:t>
      </w:r>
    </w:p>
    <w:p>
      <w:pPr>
        <w:ind w:firstLine="643" w:firstLineChars="20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bCs/>
          <w:sz w:val="32"/>
          <w:szCs w:val="32"/>
          <w:lang w:val="en-US" w:eastAsia="zh-CN"/>
        </w:rPr>
        <w:t>注意：</w:t>
      </w:r>
      <w:r>
        <w:rPr>
          <w:rFonts w:hint="eastAsia" w:ascii="仿宋_GB2312" w:hAnsi="仿宋_GB2312" w:eastAsia="仿宋_GB2312" w:cs="仿宋_GB2312"/>
          <w:b w:val="0"/>
          <w:bCs w:val="0"/>
          <w:sz w:val="32"/>
          <w:szCs w:val="32"/>
          <w:lang w:val="en-US" w:eastAsia="zh-CN"/>
        </w:rPr>
        <w:t>以上（一）至（六）严格按照要求的种类、数量、顺序整理为一套资料（严禁乱提供非本函要求的资料），每页加盖参与论证公司的红章，使用</w:t>
      </w:r>
      <w:r>
        <w:rPr>
          <w:rFonts w:hint="eastAsia" w:ascii="仿宋_GB2312" w:hAnsi="仿宋_GB2312" w:eastAsia="仿宋_GB2312" w:cs="仿宋_GB2312"/>
          <w:b w:val="0"/>
          <w:bCs w:val="0"/>
          <w:color w:val="auto"/>
          <w:sz w:val="32"/>
          <w:szCs w:val="32"/>
          <w:lang w:val="en-US" w:eastAsia="zh-CN"/>
        </w:rPr>
        <w:t>长尾夹固定。</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七、其他事项要求</w:t>
      </w:r>
    </w:p>
    <w:p>
      <w:pPr>
        <w:numPr>
          <w:ilvl w:val="0"/>
          <w:numId w:val="0"/>
        </w:numPr>
        <w:ind w:firstLine="64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医院接受供应商在论证前的合理时间来院勘查与咨询，但在来院前需要与医院招标办联系确定相关事宜。</w:t>
      </w:r>
    </w:p>
    <w:p>
      <w:pPr>
        <w:ind w:firstLine="643" w:firstLineChars="200"/>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八、联系人与联系方式</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联系人：王博</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电  话：0631-5960192</w:t>
      </w:r>
    </w:p>
    <w:p>
      <w:pPr>
        <w:ind w:firstLine="640" w:firstLineChars="200"/>
        <w:rPr>
          <w:rFonts w:hint="eastAsia"/>
          <w:lang w:val="en-US" w:eastAsia="zh-CN"/>
        </w:rPr>
      </w:pPr>
      <w:r>
        <w:rPr>
          <w:rFonts w:hint="eastAsia" w:ascii="仿宋_GB2312" w:hAnsi="仿宋_GB2312" w:eastAsia="仿宋_GB2312" w:cs="仿宋_GB2312"/>
          <w:sz w:val="32"/>
          <w:szCs w:val="32"/>
          <w:lang w:val="en-US" w:eastAsia="zh-CN"/>
        </w:rPr>
        <w:t>邮  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"mailto:slsysbk@163.com" </w:instrText>
      </w:r>
      <w:r>
        <w:rPr>
          <w:rFonts w:hint="eastAsia" w:ascii="仿宋_GB2312" w:hAnsi="仿宋_GB2312" w:eastAsia="仿宋_GB2312" w:cs="仿宋_GB2312"/>
          <w:sz w:val="32"/>
          <w:szCs w:val="32"/>
          <w:lang w:val="en-US" w:eastAsia="zh-CN"/>
        </w:rPr>
        <w:fldChar w:fldCharType="separate"/>
      </w:r>
      <w:r>
        <w:rPr>
          <w:rStyle w:val="9"/>
          <w:rFonts w:hint="eastAsia" w:ascii="仿宋_GB2312" w:hAnsi="仿宋_GB2312" w:eastAsia="仿宋_GB2312" w:cs="仿宋_GB2312"/>
          <w:sz w:val="32"/>
          <w:szCs w:val="32"/>
          <w:lang w:val="en-US" w:eastAsia="zh-CN"/>
        </w:rPr>
        <w:t>slsyzbb@163.com</w:t>
      </w:r>
      <w:r>
        <w:rPr>
          <w:rFonts w:hint="eastAsia" w:ascii="仿宋_GB2312" w:hAnsi="仿宋_GB2312" w:eastAsia="仿宋_GB2312" w:cs="仿宋_GB2312"/>
          <w:sz w:val="32"/>
          <w:szCs w:val="32"/>
          <w:lang w:val="en-US" w:eastAsia="zh-CN"/>
        </w:rPr>
        <w:fldChar w:fldCharType="end"/>
      </w:r>
    </w:p>
    <w:p>
      <w:pPr>
        <w:ind w:firstLine="640" w:firstLineChars="200"/>
        <w:rPr>
          <w:rFonts w:hint="eastAsia" w:ascii="仿宋_GB2312" w:hAnsi="仿宋_GB2312" w:eastAsia="仿宋_GB2312" w:cs="仿宋_GB2312"/>
          <w:b w:val="0"/>
          <w:bCs w:val="0"/>
          <w:sz w:val="32"/>
          <w:szCs w:val="32"/>
          <w:lang w:val="en-US" w:eastAsia="zh-CN"/>
        </w:rPr>
      </w:pP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附件：1.</w:t>
      </w:r>
      <w:r>
        <w:rPr>
          <w:rFonts w:hint="eastAsia" w:ascii="仿宋_GB2312" w:hAnsi="仿宋_GB2312" w:eastAsia="仿宋_GB2312" w:cs="仿宋_GB2312"/>
          <w:sz w:val="32"/>
          <w:szCs w:val="32"/>
          <w:lang w:val="en-US" w:eastAsia="zh-CN"/>
        </w:rPr>
        <w:t>法人授权委托书</w:t>
      </w:r>
    </w:p>
    <w:p>
      <w:pPr>
        <w:ind w:firstLine="1600" w:firstLineChars="500"/>
        <w:rPr>
          <w:rFonts w:hint="eastAsia"/>
          <w:lang w:val="en-US" w:eastAsia="zh-CN"/>
        </w:rPr>
      </w:pPr>
      <w:r>
        <w:rPr>
          <w:rFonts w:hint="eastAsia" w:ascii="仿宋_GB2312" w:hAnsi="仿宋_GB2312" w:eastAsia="仿宋_GB2312" w:cs="仿宋_GB2312"/>
          <w:sz w:val="32"/>
          <w:szCs w:val="32"/>
          <w:lang w:val="en-US" w:eastAsia="zh-CN"/>
        </w:rPr>
        <w:t>2.市场应用（对外服务）情况表</w:t>
      </w:r>
    </w:p>
    <w:p>
      <w:pPr>
        <w:ind w:firstLine="1120" w:firstLineChars="400"/>
        <w:rPr>
          <w:rFonts w:hint="eastAsia" w:ascii="仿宋_GB2312" w:hAnsi="仿宋_GB2312" w:eastAsia="仿宋_GB2312" w:cs="仿宋_GB2312"/>
          <w:sz w:val="28"/>
          <w:szCs w:val="28"/>
          <w:lang w:val="en-US" w:eastAsia="zh-CN"/>
        </w:rPr>
      </w:pPr>
    </w:p>
    <w:p>
      <w:pPr>
        <w:ind w:firstLine="1120" w:firstLineChars="400"/>
        <w:rPr>
          <w:rFonts w:hint="eastAsia" w:ascii="仿宋_GB2312" w:hAnsi="仿宋_GB2312" w:eastAsia="仿宋_GB2312" w:cs="仿宋_GB2312"/>
          <w:sz w:val="28"/>
          <w:szCs w:val="28"/>
          <w:lang w:val="en-US" w:eastAsia="zh-CN"/>
        </w:rPr>
      </w:pPr>
    </w:p>
    <w:p>
      <w:pPr>
        <w:ind w:firstLine="3520" w:firstLineChars="11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威海市立第三医院</w:t>
      </w:r>
    </w:p>
    <w:p>
      <w:pPr>
        <w:ind w:firstLine="4480" w:firstLineChars="1400"/>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2022年7月15</w:t>
      </w:r>
      <w:bookmarkStart w:id="0" w:name="_GoBack"/>
      <w:bookmarkEnd w:id="0"/>
      <w:r>
        <w:rPr>
          <w:rFonts w:hint="eastAsia" w:ascii="仿宋_GB2312" w:hAnsi="仿宋_GB2312" w:eastAsia="仿宋_GB2312" w:cs="仿宋_GB2312"/>
          <w:b w:val="0"/>
          <w:bCs w:val="0"/>
          <w:color w:val="auto"/>
          <w:sz w:val="32"/>
          <w:szCs w:val="32"/>
          <w:u w:val="single"/>
          <w:lang w:val="en-US" w:eastAsia="zh-CN"/>
        </w:rPr>
        <w:t>日</w:t>
      </w:r>
      <w:r>
        <w:rPr>
          <w:rFonts w:hint="eastAsia" w:ascii="仿宋_GB2312" w:hAnsi="仿宋_GB2312" w:eastAsia="仿宋_GB2312" w:cs="仿宋_GB2312"/>
          <w:b w:val="0"/>
          <w:bCs w:val="0"/>
          <w:color w:val="auto"/>
          <w:sz w:val="32"/>
          <w:szCs w:val="32"/>
          <w:u w:val="single"/>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附件1</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（项目编号）项目的综合论证，并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960" w:firstLineChars="3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授权单位盖章：</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none"/>
          <w:lang w:val="en-US" w:eastAsia="zh-CN"/>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1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sz w:val="13"/>
          <w:szCs w:val="13"/>
          <w:lang w:val="en-US" w:eastAsia="zh-CN"/>
        </w:rPr>
      </w:pPr>
      <w:r>
        <w:rPr>
          <w:rFonts w:hint="eastAsia" w:ascii="仿宋_GB2312" w:hAnsi="仿宋_GB2312" w:eastAsia="仿宋_GB2312" w:cs="仿宋_GB2312"/>
          <w:sz w:val="13"/>
          <w:szCs w:val="13"/>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对外服务情况表</w:t>
      </w:r>
    </w:p>
    <w:p>
      <w:pPr>
        <w:jc w:val="center"/>
        <w:rPr>
          <w:rFonts w:hint="eastAsia" w:ascii="仿宋_GB2312" w:hAnsi="仿宋_GB2312" w:eastAsia="仿宋_GB2312" w:cs="仿宋_GB2312"/>
          <w:b/>
          <w:bCs/>
          <w:sz w:val="24"/>
          <w:szCs w:val="24"/>
          <w:lang w:val="en-US" w:eastAsia="zh-CN"/>
        </w:rPr>
      </w:pP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使用单位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服务年度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705" w:type="dxa"/>
            <w:vAlign w:val="center"/>
          </w:tcPr>
          <w:p>
            <w:pPr>
              <w:jc w:val="both"/>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参与公司盖章：</w:t>
      </w:r>
    </w:p>
    <w:sectPr>
      <w:pgSz w:w="11906" w:h="16838"/>
      <w:pgMar w:top="1440" w:right="1803" w:bottom="1440"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44A3C"/>
    <w:rsid w:val="0306783C"/>
    <w:rsid w:val="041012AE"/>
    <w:rsid w:val="056E3308"/>
    <w:rsid w:val="06616A6F"/>
    <w:rsid w:val="06637264"/>
    <w:rsid w:val="072E50C6"/>
    <w:rsid w:val="088966EE"/>
    <w:rsid w:val="0A5B73EA"/>
    <w:rsid w:val="0A7105F0"/>
    <w:rsid w:val="0AE47B1E"/>
    <w:rsid w:val="0B50556E"/>
    <w:rsid w:val="0BC2087A"/>
    <w:rsid w:val="0C0E2D62"/>
    <w:rsid w:val="0D0328AB"/>
    <w:rsid w:val="0E441926"/>
    <w:rsid w:val="0E5674D9"/>
    <w:rsid w:val="0EB466F8"/>
    <w:rsid w:val="0F4722FA"/>
    <w:rsid w:val="0FE867C1"/>
    <w:rsid w:val="0FFB437A"/>
    <w:rsid w:val="11147823"/>
    <w:rsid w:val="112A7A9F"/>
    <w:rsid w:val="125F6671"/>
    <w:rsid w:val="15CF09FC"/>
    <w:rsid w:val="17450FC9"/>
    <w:rsid w:val="1753483A"/>
    <w:rsid w:val="178F45DF"/>
    <w:rsid w:val="1940115E"/>
    <w:rsid w:val="19F52E2A"/>
    <w:rsid w:val="1FF86EBC"/>
    <w:rsid w:val="209100DD"/>
    <w:rsid w:val="21A437E9"/>
    <w:rsid w:val="21E03505"/>
    <w:rsid w:val="23597745"/>
    <w:rsid w:val="24314357"/>
    <w:rsid w:val="27C129C2"/>
    <w:rsid w:val="28460323"/>
    <w:rsid w:val="29B47B51"/>
    <w:rsid w:val="2BC4525D"/>
    <w:rsid w:val="2BF70ED7"/>
    <w:rsid w:val="2D067FF6"/>
    <w:rsid w:val="2D453ECC"/>
    <w:rsid w:val="2DAA36BF"/>
    <w:rsid w:val="2E127BEC"/>
    <w:rsid w:val="2ED737AD"/>
    <w:rsid w:val="2FC22F06"/>
    <w:rsid w:val="30BA749B"/>
    <w:rsid w:val="326C6156"/>
    <w:rsid w:val="32EB18B3"/>
    <w:rsid w:val="33B8159B"/>
    <w:rsid w:val="33DD3CC2"/>
    <w:rsid w:val="349D7AB3"/>
    <w:rsid w:val="3507227E"/>
    <w:rsid w:val="35B14893"/>
    <w:rsid w:val="364C6A4B"/>
    <w:rsid w:val="378B19B6"/>
    <w:rsid w:val="3AB050B1"/>
    <w:rsid w:val="3BE22435"/>
    <w:rsid w:val="3BE91C1D"/>
    <w:rsid w:val="3C274923"/>
    <w:rsid w:val="3C732980"/>
    <w:rsid w:val="3E7F198B"/>
    <w:rsid w:val="40A34F94"/>
    <w:rsid w:val="40F724E5"/>
    <w:rsid w:val="453C4CFD"/>
    <w:rsid w:val="45C97AD5"/>
    <w:rsid w:val="46F964AC"/>
    <w:rsid w:val="4A306100"/>
    <w:rsid w:val="4E17470B"/>
    <w:rsid w:val="501713DB"/>
    <w:rsid w:val="5026344A"/>
    <w:rsid w:val="5037594C"/>
    <w:rsid w:val="51491C22"/>
    <w:rsid w:val="518542D3"/>
    <w:rsid w:val="518E7743"/>
    <w:rsid w:val="51965E4E"/>
    <w:rsid w:val="51F17CF9"/>
    <w:rsid w:val="51FE2564"/>
    <w:rsid w:val="528D6E2B"/>
    <w:rsid w:val="53635859"/>
    <w:rsid w:val="54571857"/>
    <w:rsid w:val="54AF3AFE"/>
    <w:rsid w:val="54B35F20"/>
    <w:rsid w:val="55223F2F"/>
    <w:rsid w:val="5712074C"/>
    <w:rsid w:val="5AFE414F"/>
    <w:rsid w:val="5B154C9C"/>
    <w:rsid w:val="5C1E32DA"/>
    <w:rsid w:val="5C6309D2"/>
    <w:rsid w:val="5CEE3FCD"/>
    <w:rsid w:val="5D0A749E"/>
    <w:rsid w:val="5D9B7C91"/>
    <w:rsid w:val="5DA24171"/>
    <w:rsid w:val="5EC42E35"/>
    <w:rsid w:val="618A062A"/>
    <w:rsid w:val="639C74DA"/>
    <w:rsid w:val="63CB7229"/>
    <w:rsid w:val="64F07963"/>
    <w:rsid w:val="66E05971"/>
    <w:rsid w:val="670B1023"/>
    <w:rsid w:val="67782713"/>
    <w:rsid w:val="69252342"/>
    <w:rsid w:val="69CB420D"/>
    <w:rsid w:val="69D86BC2"/>
    <w:rsid w:val="6A8A60CE"/>
    <w:rsid w:val="6B870862"/>
    <w:rsid w:val="6BAB4EF0"/>
    <w:rsid w:val="6D373CB7"/>
    <w:rsid w:val="6DF6410C"/>
    <w:rsid w:val="6E955349"/>
    <w:rsid w:val="71E73A79"/>
    <w:rsid w:val="72DB2E88"/>
    <w:rsid w:val="735D5523"/>
    <w:rsid w:val="76D4524B"/>
    <w:rsid w:val="76F774A3"/>
    <w:rsid w:val="77305324"/>
    <w:rsid w:val="77D17783"/>
    <w:rsid w:val="77EA40F6"/>
    <w:rsid w:val="78080ACE"/>
    <w:rsid w:val="790D0676"/>
    <w:rsid w:val="79370F44"/>
    <w:rsid w:val="7A9F7EA6"/>
    <w:rsid w:val="7BBD6CAF"/>
    <w:rsid w:val="7BF62302"/>
    <w:rsid w:val="7CDA444A"/>
    <w:rsid w:val="7E33156A"/>
    <w:rsid w:val="7ECA3EAC"/>
    <w:rsid w:val="7FD332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37</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温立新</cp:lastModifiedBy>
  <dcterms:modified xsi:type="dcterms:W3CDTF">2022-07-15T01:37:12Z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