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编号LZ2022-03AG的保安服务项目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2022年4月23日9:00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8:45至8:55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16个岗位一年期的保安服务，其中不少于2个岗位为消防监控室值守加自动消防设施操作岗位。人员的年龄要求为20～45岁。</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2022年4月22日12:00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2.《保安服务企业资质证书》复印件1份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自定义格式A4纸反正面打印的《服务方案与质量保障措施》4份（共计使用不超过3张A4纸）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五）服务业绩</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附件3格式的供应商《对外服务情况表》4份（顺序为威海区域在前、其他区域在后，数量不超过20家）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以上（一）至（七）严格按照要求的种类、数量、顺序整理为一套资料（严禁乱提供非本函要求的资料），每页加盖参与论证公司的红章，使用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2021年4月14日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W w:w="85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295"/>
        <w:gridCol w:w="231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5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229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每岗位每月价格（元）</w:t>
            </w:r>
          </w:p>
        </w:tc>
        <w:tc>
          <w:tcPr>
            <w:tcW w:w="231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每岗位每年价格（元）</w:t>
            </w:r>
          </w:p>
        </w:tc>
        <w:tc>
          <w:tcPr>
            <w:tcW w:w="273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16个岗一年合计价格（元）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5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保安服务</w:t>
            </w:r>
          </w:p>
        </w:tc>
        <w:tc>
          <w:tcPr>
            <w:tcW w:w="2295" w:type="dxa"/>
            <w:vAlign w:val="center"/>
          </w:tcPr>
          <w:p>
            <w:pPr>
              <w:jc w:val="center"/>
              <w:rPr>
                <w:rFonts w:hint="eastAsia" w:ascii="仿宋_GB2312" w:hAnsi="仿宋_GB2312" w:eastAsia="仿宋_GB2312" w:cs="仿宋_GB2312"/>
                <w:sz w:val="21"/>
                <w:szCs w:val="21"/>
                <w:vertAlign w:val="baseline"/>
                <w:lang w:val="en-US" w:eastAsia="zh-CN"/>
              </w:rPr>
            </w:pPr>
          </w:p>
        </w:tc>
        <w:tc>
          <w:tcPr>
            <w:tcW w:w="2310" w:type="dxa"/>
            <w:vAlign w:val="center"/>
          </w:tcPr>
          <w:p>
            <w:pPr>
              <w:jc w:val="center"/>
              <w:rPr>
                <w:rFonts w:hint="eastAsia" w:ascii="仿宋_GB2312" w:hAnsi="仿宋_GB2312" w:eastAsia="仿宋_GB2312" w:cs="仿宋_GB2312"/>
                <w:sz w:val="21"/>
                <w:szCs w:val="21"/>
                <w:vertAlign w:val="baseline"/>
                <w:lang w:val="en-US" w:eastAsia="zh-CN"/>
              </w:rPr>
            </w:pPr>
          </w:p>
        </w:tc>
        <w:tc>
          <w:tcPr>
            <w:tcW w:w="2730" w:type="dxa"/>
            <w:vAlign w:val="center"/>
          </w:tcPr>
          <w:p>
            <w:pPr>
              <w:jc w:val="center"/>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对于报价的补充说明和必须满足的付款要求（如有）：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bookmarkStart w:id="0" w:name="_GoBack"/>
      <w:bookmarkEnd w:id="0"/>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33"/>
        <w:gridCol w:w="1395"/>
        <w:gridCol w:w="136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3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39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36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29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933" w:type="dxa"/>
            <w:vAlign w:val="center"/>
          </w:tcPr>
          <w:p>
            <w:pPr>
              <w:jc w:val="both"/>
              <w:rPr>
                <w:rFonts w:hint="eastAsia" w:ascii="仿宋_GB2312" w:hAnsi="仿宋_GB2312" w:eastAsia="仿宋_GB2312" w:cs="仿宋_GB2312"/>
                <w:sz w:val="24"/>
                <w:szCs w:val="24"/>
                <w:vertAlign w:val="baseline"/>
                <w:lang w:val="en-US" w:eastAsia="zh-CN"/>
              </w:rPr>
            </w:pPr>
          </w:p>
        </w:tc>
        <w:tc>
          <w:tcPr>
            <w:tcW w:w="1395" w:type="dxa"/>
            <w:vAlign w:val="center"/>
          </w:tcPr>
          <w:p>
            <w:pPr>
              <w:jc w:val="both"/>
              <w:rPr>
                <w:rFonts w:hint="eastAsia" w:ascii="仿宋_GB2312" w:hAnsi="仿宋_GB2312" w:eastAsia="仿宋_GB2312" w:cs="仿宋_GB2312"/>
                <w:sz w:val="24"/>
                <w:szCs w:val="24"/>
                <w:vertAlign w:val="baseline"/>
                <w:lang w:val="en-US" w:eastAsia="zh-CN"/>
              </w:rPr>
            </w:pPr>
          </w:p>
        </w:tc>
        <w:tc>
          <w:tcPr>
            <w:tcW w:w="1365" w:type="dxa"/>
            <w:vAlign w:val="center"/>
          </w:tcPr>
          <w:p>
            <w:pPr>
              <w:jc w:val="both"/>
              <w:rPr>
                <w:rFonts w:hint="eastAsia" w:ascii="仿宋_GB2312" w:hAnsi="仿宋_GB2312" w:eastAsia="仿宋_GB2312" w:cs="仿宋_GB2312"/>
                <w:sz w:val="24"/>
                <w:szCs w:val="24"/>
                <w:vertAlign w:val="baseline"/>
                <w:lang w:val="en-US" w:eastAsia="zh-CN"/>
              </w:rPr>
            </w:pPr>
          </w:p>
        </w:tc>
        <w:tc>
          <w:tcPr>
            <w:tcW w:w="229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A5B73EA"/>
    <w:rsid w:val="0A7105F0"/>
    <w:rsid w:val="0B50556E"/>
    <w:rsid w:val="0BC2087A"/>
    <w:rsid w:val="0C0E2D62"/>
    <w:rsid w:val="0D0328AB"/>
    <w:rsid w:val="0E441926"/>
    <w:rsid w:val="0E5674D9"/>
    <w:rsid w:val="0EB466F8"/>
    <w:rsid w:val="0FE867C1"/>
    <w:rsid w:val="0FFB437A"/>
    <w:rsid w:val="112A7A9F"/>
    <w:rsid w:val="125F6671"/>
    <w:rsid w:val="13CB61EF"/>
    <w:rsid w:val="15CF09FC"/>
    <w:rsid w:val="17450FC9"/>
    <w:rsid w:val="178F45DF"/>
    <w:rsid w:val="19F52E2A"/>
    <w:rsid w:val="1FF86EBC"/>
    <w:rsid w:val="209100DD"/>
    <w:rsid w:val="21E03505"/>
    <w:rsid w:val="23597745"/>
    <w:rsid w:val="24C861E0"/>
    <w:rsid w:val="27C129C2"/>
    <w:rsid w:val="28460323"/>
    <w:rsid w:val="29B47B51"/>
    <w:rsid w:val="2BC4525D"/>
    <w:rsid w:val="2BF70ED7"/>
    <w:rsid w:val="2D067FF6"/>
    <w:rsid w:val="2D453ECC"/>
    <w:rsid w:val="2E127BEC"/>
    <w:rsid w:val="2ED737AD"/>
    <w:rsid w:val="30BA749B"/>
    <w:rsid w:val="32EB18B3"/>
    <w:rsid w:val="33B8159B"/>
    <w:rsid w:val="33DD3CC2"/>
    <w:rsid w:val="349D7AB3"/>
    <w:rsid w:val="3507227E"/>
    <w:rsid w:val="35B14893"/>
    <w:rsid w:val="364C6A4B"/>
    <w:rsid w:val="378B19B6"/>
    <w:rsid w:val="3AB050B1"/>
    <w:rsid w:val="3BE22435"/>
    <w:rsid w:val="3C732980"/>
    <w:rsid w:val="3E7F198B"/>
    <w:rsid w:val="3EED4E95"/>
    <w:rsid w:val="40A34F94"/>
    <w:rsid w:val="453C4CFD"/>
    <w:rsid w:val="45C97AD5"/>
    <w:rsid w:val="46F964AC"/>
    <w:rsid w:val="4A306100"/>
    <w:rsid w:val="4A542D9A"/>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DA24171"/>
    <w:rsid w:val="5EC42E35"/>
    <w:rsid w:val="618A062A"/>
    <w:rsid w:val="639C74DA"/>
    <w:rsid w:val="63CB7229"/>
    <w:rsid w:val="64F07963"/>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BF62302"/>
    <w:rsid w:val="7CDA444A"/>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2022-04-15T00:27:08Z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