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编号LZ2021-25ZW的医用电梯维保服务项目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2021年11月20日9:00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8:45至8:55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0000FF"/>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用电梯维保服务（技术服务+除照明灯具外的300元内配件），和300元以上配件的供应，具体内容见附件3《报价单》。其中报价单2是医院根据以往经验罗列出的有可能采购的配件，但不是有可能采购的所有配件。</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2021年11月18日17:00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通过与供应商进行沟通与谈判，掌握相关产品与服务的质量层次、价格水平、配置方案、保障体系、市场应用等相关信息，为未来实施项目采购提供质量与服务标准、价格上限等依据。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论证参照竞争性蹉商的方式。现场谈判的顺序按照报名的先后顺序反向进行。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四）服务与质量保障方案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自定义格式A4纸反正面打印的《服务及人员配置方案与质量保障措施》4份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附件3格式的供应商《对外服务情况表》4份（罗列的顺序为威海区域在前，其他区域在后，总数量不超过20家）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（六）供应商实力佐证材料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如有，可提供不超过3种的证书或者其他单页材料复印件各1份</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7"/>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bookmarkStart w:id="0" w:name="_GoBack"/>
      <w:bookmarkEnd w:id="0"/>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2021年11月11日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3"/>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3"/>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3"/>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3"/>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r>
        <w:rPr>
          <w:rFonts w:hint="eastAsia" w:ascii="仿宋_GB2312" w:hAnsi="仿宋_GB2312" w:eastAsia="仿宋_GB2312" w:cs="仿宋_GB2312"/>
          <w:sz w:val="13"/>
          <w:szCs w:val="13"/>
          <w:lang w:val="en-US" w:eastAsia="zh-CN"/>
        </w:rPr>
        <w:br w:type="page"/>
      </w:r>
    </w:p>
    <w:p>
      <w:pPr>
        <w:pStyle w:val="3"/>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报价单1</w:t>
      </w:r>
    </w:p>
    <w:p>
      <w:pPr>
        <w:jc w:val="both"/>
        <w:rPr>
          <w:rFonts w:hint="eastAsia" w:ascii="仿宋_GB2312" w:hAnsi="仿宋_GB2312" w:eastAsia="仿宋_GB2312" w:cs="仿宋_GB2312"/>
          <w:sz w:val="21"/>
          <w:szCs w:val="21"/>
          <w:lang w:val="en-US" w:eastAsia="zh-CN"/>
        </w:rPr>
      </w:pPr>
    </w:p>
    <w:tbl>
      <w:tblPr>
        <w:tblStyle w:val="9"/>
        <w:tblW w:w="8833"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1830"/>
        <w:gridCol w:w="1410"/>
        <w:gridCol w:w="743"/>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Align w:val="center"/>
          </w:tcPr>
          <w:p>
            <w:pPr>
              <w:pStyle w:val="2"/>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名称</w:t>
            </w:r>
          </w:p>
        </w:tc>
        <w:tc>
          <w:tcPr>
            <w:tcW w:w="1830" w:type="dxa"/>
            <w:vAlign w:val="center"/>
          </w:tcPr>
          <w:p>
            <w:pPr>
              <w:pStyle w:val="2"/>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内容</w:t>
            </w:r>
          </w:p>
        </w:tc>
        <w:tc>
          <w:tcPr>
            <w:tcW w:w="1410" w:type="dxa"/>
            <w:vAlign w:val="center"/>
          </w:tcPr>
          <w:p>
            <w:pPr>
              <w:pStyle w:val="2"/>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工作层数</w:t>
            </w:r>
          </w:p>
        </w:tc>
        <w:tc>
          <w:tcPr>
            <w:tcW w:w="743" w:type="dxa"/>
            <w:vAlign w:val="center"/>
          </w:tcPr>
          <w:p>
            <w:pPr>
              <w:pStyle w:val="2"/>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数量</w:t>
            </w:r>
          </w:p>
        </w:tc>
        <w:tc>
          <w:tcPr>
            <w:tcW w:w="1420" w:type="dxa"/>
            <w:vAlign w:val="center"/>
          </w:tcPr>
          <w:p>
            <w:pPr>
              <w:pStyle w:val="2"/>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单价（元）</w:t>
            </w:r>
          </w:p>
        </w:tc>
        <w:tc>
          <w:tcPr>
            <w:tcW w:w="1420" w:type="dxa"/>
            <w:vAlign w:val="center"/>
          </w:tcPr>
          <w:p>
            <w:pPr>
              <w:pStyle w:val="2"/>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restart"/>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一年期</w:t>
            </w:r>
          </w:p>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医用电梯维保服务</w:t>
            </w:r>
          </w:p>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（技术服务+除照明灯具300元内配件）</w:t>
            </w:r>
          </w:p>
        </w:tc>
        <w:tc>
          <w:tcPr>
            <w:tcW w:w="183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蒂森厢式电梯</w:t>
            </w:r>
          </w:p>
        </w:tc>
        <w:tc>
          <w:tcPr>
            <w:tcW w:w="141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17层</w:t>
            </w:r>
          </w:p>
        </w:tc>
        <w:tc>
          <w:tcPr>
            <w:tcW w:w="743"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183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日立厢式电梯</w:t>
            </w:r>
          </w:p>
        </w:tc>
        <w:tc>
          <w:tcPr>
            <w:tcW w:w="141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17层</w:t>
            </w:r>
          </w:p>
        </w:tc>
        <w:tc>
          <w:tcPr>
            <w:tcW w:w="743"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183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日立厢式电梯</w:t>
            </w:r>
          </w:p>
        </w:tc>
        <w:tc>
          <w:tcPr>
            <w:tcW w:w="141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16层</w:t>
            </w:r>
          </w:p>
        </w:tc>
        <w:tc>
          <w:tcPr>
            <w:tcW w:w="743"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183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迅达厢式电梯</w:t>
            </w:r>
          </w:p>
        </w:tc>
        <w:tc>
          <w:tcPr>
            <w:tcW w:w="141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14层</w:t>
            </w:r>
          </w:p>
        </w:tc>
        <w:tc>
          <w:tcPr>
            <w:tcW w:w="743"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183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迅达扶式电梯</w:t>
            </w:r>
          </w:p>
        </w:tc>
        <w:tc>
          <w:tcPr>
            <w:tcW w:w="1410"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1层</w:t>
            </w:r>
          </w:p>
        </w:tc>
        <w:tc>
          <w:tcPr>
            <w:tcW w:w="743" w:type="dxa"/>
            <w:vAlign w:val="center"/>
          </w:tcPr>
          <w:p>
            <w:pPr>
              <w:pStyle w:val="2"/>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1420" w:type="dxa"/>
            <w:vAlign w:val="center"/>
          </w:tcPr>
          <w:p>
            <w:pPr>
              <w:pStyle w:val="2"/>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10" w:type="dxa"/>
            <w:vMerge w:val="continue"/>
            <w:vAlign w:val="center"/>
          </w:tcPr>
          <w:p>
            <w:pPr>
              <w:pStyle w:val="2"/>
              <w:jc w:val="center"/>
              <w:rPr>
                <w:rFonts w:hint="eastAsia" w:ascii="仿宋_GB2312" w:hAnsi="仿宋_GB2312" w:eastAsia="仿宋_GB2312" w:cs="仿宋_GB2312"/>
                <w:sz w:val="21"/>
                <w:szCs w:val="21"/>
                <w:vertAlign w:val="baseline"/>
                <w:lang w:val="en-US" w:eastAsia="zh-CN"/>
              </w:rPr>
            </w:pPr>
          </w:p>
        </w:tc>
        <w:tc>
          <w:tcPr>
            <w:tcW w:w="5403" w:type="dxa"/>
            <w:gridSpan w:val="4"/>
            <w:vAlign w:val="center"/>
          </w:tcPr>
          <w:p>
            <w:pPr>
              <w:pStyle w:val="2"/>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合计金额（元）</w:t>
            </w:r>
          </w:p>
        </w:tc>
        <w:tc>
          <w:tcPr>
            <w:tcW w:w="1420" w:type="dxa"/>
            <w:vAlign w:val="center"/>
          </w:tcPr>
          <w:p>
            <w:pPr>
              <w:pStyle w:val="2"/>
              <w:jc w:val="center"/>
              <w:rPr>
                <w:rFonts w:hint="eastAsia" w:ascii="仿宋_GB2312" w:hAnsi="仿宋_GB2312" w:eastAsia="仿宋_GB2312" w:cs="仿宋_GB2312"/>
                <w:b/>
                <w:bCs/>
                <w:sz w:val="21"/>
                <w:szCs w:val="21"/>
                <w:vertAlign w:val="baseline"/>
                <w:lang w:val="en-US" w:eastAsia="zh-CN"/>
              </w:rPr>
            </w:pPr>
          </w:p>
        </w:tc>
      </w:tr>
    </w:tbl>
    <w:p>
      <w:pPr>
        <w:pStyle w:val="2"/>
        <w:rPr>
          <w:rFonts w:hint="eastAsia"/>
          <w:sz w:val="21"/>
          <w:szCs w:val="21"/>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9"/>
        <w:tblW w:w="8818"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15"/>
        <w:gridCol w:w="1110"/>
        <w:gridCol w:w="1560"/>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3015"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名称</w:t>
            </w:r>
          </w:p>
        </w:tc>
        <w:tc>
          <w:tcPr>
            <w:tcW w:w="111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单位</w:t>
            </w:r>
          </w:p>
        </w:tc>
        <w:tc>
          <w:tcPr>
            <w:tcW w:w="156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单价（元）</w:t>
            </w:r>
          </w:p>
        </w:tc>
        <w:tc>
          <w:tcPr>
            <w:tcW w:w="2278"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aps/>
                <w:kern w:val="0"/>
                <w:sz w:val="21"/>
                <w:szCs w:val="21"/>
              </w:rPr>
              <w:t>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aps/>
                <w:kern w:val="0"/>
                <w:sz w:val="21"/>
                <w:szCs w:val="21"/>
              </w:rPr>
              <w:t>迅达专用应急电源装置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aps/>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迅达电梯门机磁鼓</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迅达医梯钢丝绳</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迅达外呼双层显示板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迅达轿内双层显示板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迅达、日立电梯平层感应器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迅达、日立电梯限速器校验</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迅达KMC接触器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迅达KMY接触器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迅达抱闸接触器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迅达抱闸强制继电器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迅达门锁继电器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迅达安全继电器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裁截钢丝绳</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迅达QKS9-1门机板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迅达QKS9-1门机</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迅达电梯相序</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迅达应急电源</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19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迅达扶梯摩擦轮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迅达扶梯扶手带摩擦轮链条</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条</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迅达扶梯托带轮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迅达扶梯多楔带</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条</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迅达扶梯抱闸钢带</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根</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迅达扶梯扶手带链轮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条</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迅达计数器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迅达主板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迅达轿厢通讯板SM02</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迅达电梯导向轮更换轴承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29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迅达电梯主机编码器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日立轿厢通讯扩展板SM03</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日立主机编码器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日立信号板NIOB</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日立门机及编码器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日立通讯A板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日立通讯B板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日立通讯C板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日立门机通讯控制板DMC</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日立门机驱动板DMD</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39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日立主接触器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日立制动电阻</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日立电梯主板</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日立曳引机油</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日立曳引轮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日立返绳轮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日立曳引钢丝绳</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迅达、日立补偿链</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迅达、日立语音报站</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日立涨紧轮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49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迅达门锁装置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迅达、日立医梯专用光幕</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51</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日立限速器钢丝绳</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52</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蒂森电源接触器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53</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蒂森封星接触器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54</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蒂森Ｋ07接触器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55</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蒂森运行继电器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56</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蒂森电源运行接触器</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套</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57</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日立风扇</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58</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迅达载荷控制装置</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台</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59</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迅达扶梯特制扶手带</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米</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855"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60</w:t>
            </w:r>
          </w:p>
        </w:tc>
        <w:tc>
          <w:tcPr>
            <w:tcW w:w="3015" w:type="dxa"/>
            <w:vAlign w:val="center"/>
          </w:tcPr>
          <w:p>
            <w:pPr>
              <w:widowControl/>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迅达扶梯相序</w:t>
            </w:r>
          </w:p>
        </w:tc>
        <w:tc>
          <w:tcPr>
            <w:tcW w:w="1110" w:type="dxa"/>
            <w:vAlign w:val="center"/>
          </w:tcPr>
          <w:p>
            <w:pPr>
              <w:widowControl/>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kern w:val="0"/>
                <w:sz w:val="21"/>
                <w:szCs w:val="21"/>
              </w:rPr>
              <w:t>个</w:t>
            </w:r>
          </w:p>
        </w:tc>
        <w:tc>
          <w:tcPr>
            <w:tcW w:w="1560" w:type="dxa"/>
            <w:vAlign w:val="center"/>
          </w:tcPr>
          <w:p>
            <w:pPr>
              <w:jc w:val="center"/>
              <w:rPr>
                <w:rFonts w:hint="eastAsia" w:ascii="仿宋_GB2312" w:hAnsi="仿宋_GB2312" w:eastAsia="仿宋_GB2312" w:cs="仿宋_GB2312"/>
                <w:sz w:val="21"/>
                <w:szCs w:val="21"/>
                <w:vertAlign w:val="baseline"/>
                <w:lang w:val="en-US" w:eastAsia="zh-CN"/>
              </w:rPr>
            </w:pP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6540" w:type="dxa"/>
            <w:gridSpan w:val="4"/>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以上合计（元）/价格比对使用</w:t>
            </w:r>
          </w:p>
        </w:tc>
        <w:tc>
          <w:tcPr>
            <w:tcW w:w="2278" w:type="dxa"/>
            <w:vAlign w:val="center"/>
          </w:tcPr>
          <w:p>
            <w:pPr>
              <w:jc w:val="center"/>
              <w:rPr>
                <w:rFonts w:hint="eastAsia" w:ascii="仿宋_GB2312" w:hAnsi="仿宋_GB2312" w:eastAsia="仿宋_GB2312" w:cs="仿宋_GB2312"/>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服务商对于付款方式的要求：</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9"/>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5156"/>
    <w:rsid w:val="0306783C"/>
    <w:rsid w:val="041012AE"/>
    <w:rsid w:val="056E3308"/>
    <w:rsid w:val="06616A6F"/>
    <w:rsid w:val="06637264"/>
    <w:rsid w:val="0A7105F0"/>
    <w:rsid w:val="0B50556E"/>
    <w:rsid w:val="0BC2087A"/>
    <w:rsid w:val="0C0E2D62"/>
    <w:rsid w:val="0E441926"/>
    <w:rsid w:val="0E5674D9"/>
    <w:rsid w:val="0EB466F8"/>
    <w:rsid w:val="0FD254D2"/>
    <w:rsid w:val="0FE867C1"/>
    <w:rsid w:val="0FFB437A"/>
    <w:rsid w:val="112A7A9F"/>
    <w:rsid w:val="125F6671"/>
    <w:rsid w:val="150404B9"/>
    <w:rsid w:val="15ED022F"/>
    <w:rsid w:val="1967506A"/>
    <w:rsid w:val="19F52E2A"/>
    <w:rsid w:val="1B7201AE"/>
    <w:rsid w:val="1BB30BAA"/>
    <w:rsid w:val="1CC43F18"/>
    <w:rsid w:val="209100DD"/>
    <w:rsid w:val="21E03505"/>
    <w:rsid w:val="22537280"/>
    <w:rsid w:val="23597745"/>
    <w:rsid w:val="27C129C2"/>
    <w:rsid w:val="28460323"/>
    <w:rsid w:val="29B47B51"/>
    <w:rsid w:val="2BC4525D"/>
    <w:rsid w:val="2D453ECC"/>
    <w:rsid w:val="2E127BEC"/>
    <w:rsid w:val="2ED737AD"/>
    <w:rsid w:val="2F9C5882"/>
    <w:rsid w:val="32EB18B3"/>
    <w:rsid w:val="33B8159B"/>
    <w:rsid w:val="33DD3CC2"/>
    <w:rsid w:val="35B14893"/>
    <w:rsid w:val="378B19B6"/>
    <w:rsid w:val="3AB050B1"/>
    <w:rsid w:val="3BE22435"/>
    <w:rsid w:val="3C732980"/>
    <w:rsid w:val="3E7F198B"/>
    <w:rsid w:val="40A34F94"/>
    <w:rsid w:val="421034B6"/>
    <w:rsid w:val="46F964AC"/>
    <w:rsid w:val="4D1C264F"/>
    <w:rsid w:val="501713DB"/>
    <w:rsid w:val="5026344A"/>
    <w:rsid w:val="5037594C"/>
    <w:rsid w:val="51491C22"/>
    <w:rsid w:val="518542D3"/>
    <w:rsid w:val="518E7743"/>
    <w:rsid w:val="51965E4E"/>
    <w:rsid w:val="51F17CF9"/>
    <w:rsid w:val="51FE2564"/>
    <w:rsid w:val="528D6E2B"/>
    <w:rsid w:val="54571857"/>
    <w:rsid w:val="55223F2F"/>
    <w:rsid w:val="58DB3D3A"/>
    <w:rsid w:val="590D1127"/>
    <w:rsid w:val="5A757378"/>
    <w:rsid w:val="5C1E32DA"/>
    <w:rsid w:val="5C6309D2"/>
    <w:rsid w:val="5CEE3FCD"/>
    <w:rsid w:val="5D0A749E"/>
    <w:rsid w:val="5EC42E35"/>
    <w:rsid w:val="5EE26D68"/>
    <w:rsid w:val="60C226B7"/>
    <w:rsid w:val="618A062A"/>
    <w:rsid w:val="639C74DA"/>
    <w:rsid w:val="63CB7229"/>
    <w:rsid w:val="640D1CF5"/>
    <w:rsid w:val="649B2D4A"/>
    <w:rsid w:val="64F07963"/>
    <w:rsid w:val="67782713"/>
    <w:rsid w:val="69252342"/>
    <w:rsid w:val="69CB420D"/>
    <w:rsid w:val="69D86BC2"/>
    <w:rsid w:val="6BAB4EF0"/>
    <w:rsid w:val="6CD76D91"/>
    <w:rsid w:val="6D373CB7"/>
    <w:rsid w:val="6DF6410C"/>
    <w:rsid w:val="6E607864"/>
    <w:rsid w:val="6F5845A4"/>
    <w:rsid w:val="71E73A79"/>
    <w:rsid w:val="72DB2E88"/>
    <w:rsid w:val="735D5523"/>
    <w:rsid w:val="76F774A3"/>
    <w:rsid w:val="77D17783"/>
    <w:rsid w:val="78080ACE"/>
    <w:rsid w:val="790D0676"/>
    <w:rsid w:val="7A9F7EA6"/>
    <w:rsid w:val="7BBD6CAF"/>
    <w:rsid w:val="7E33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
    <w:name w:val="Plain Text"/>
    <w:basedOn w:val="1"/>
    <w:qFormat/>
    <w:uiPriority w:val="0"/>
    <w:rPr>
      <w:rFonts w:ascii="宋体" w:hAnsi="Courier New"/>
      <w:szCs w:val="20"/>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Body Text Indent 3"/>
    <w:basedOn w:val="1"/>
    <w:qFormat/>
    <w:uiPriority w:val="99"/>
    <w:pPr>
      <w:spacing w:line="300" w:lineRule="auto"/>
      <w:ind w:firstLine="600"/>
    </w:pPr>
    <w:rPr>
      <w:rFonts w:ascii="仿宋_GB2312" w:eastAsia="仿宋_GB2312"/>
      <w:b/>
      <w:spacing w:val="4"/>
      <w:sz w:val="28"/>
      <w:szCs w:val="20"/>
    </w:rPr>
  </w:style>
  <w:style w:type="character" w:styleId="7">
    <w:name w:val="Hyperlink"/>
    <w:basedOn w:val="6"/>
    <w:semiHidden/>
    <w:unhideWhenUsed/>
    <w:qFormat/>
    <w:uiPriority w:val="99"/>
    <w:rPr>
      <w:color w:val="0000FF"/>
      <w:u w:val="singl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nt01"/>
    <w:basedOn w:val="6"/>
    <w:qFormat/>
    <w:uiPriority w:val="0"/>
    <w:rPr>
      <w:rFonts w:hint="default" w:ascii="Times New Roman" w:hAnsi="Times New Roman" w:cs="Times New Roman"/>
      <w:color w:val="0000FF"/>
      <w:sz w:val="21"/>
      <w:szCs w:val="21"/>
      <w:u w:val="none"/>
    </w:rPr>
  </w:style>
  <w:style w:type="character" w:customStyle="1" w:styleId="11">
    <w:name w:val="font21"/>
    <w:basedOn w:val="6"/>
    <w:qFormat/>
    <w:uiPriority w:val="0"/>
    <w:rPr>
      <w:rFonts w:hint="eastAsia" w:ascii="宋体" w:hAnsi="宋体" w:eastAsia="宋体" w:cs="宋体"/>
      <w:color w:val="0000FF"/>
      <w:sz w:val="21"/>
      <w:szCs w:val="21"/>
      <w:u w:val="none"/>
    </w:rPr>
  </w:style>
  <w:style w:type="character" w:customStyle="1" w:styleId="12">
    <w:name w:val="font11"/>
    <w:basedOn w:val="6"/>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2021-11-11T06:22:31Z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