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single"/>
          <w:lang w:val="en-US" w:eastAsia="zh-CN"/>
        </w:rPr>
        <w:t>编号LZ2021-29YJ的药械临床试验资质认证与培训服务项目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2021年12月24日14:00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13:45至13:55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医院神经内科、心内科、精神科、呼吸内分泌科、消化内科药物临床试验认证与培训，和神经内科、心内科、骨科、检验科器械临床试验认证与培训，至分别取得相关资质。</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四、论证的报名</w:t>
      </w:r>
    </w:p>
    <w:p>
      <w:pPr>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拟参加的供应商应当于</w:t>
      </w:r>
      <w:r>
        <w:rPr>
          <w:rFonts w:hint="eastAsia" w:ascii="仿宋_GB2312" w:hAnsi="仿宋_GB2312" w:eastAsia="仿宋_GB2312" w:cs="仿宋_GB2312"/>
          <w:color w:val="auto"/>
          <w:sz w:val="32"/>
          <w:szCs w:val="32"/>
          <w:u w:val="single"/>
          <w:lang w:val="en-US" w:eastAsia="zh-CN"/>
        </w:rPr>
        <w:t xml:space="preserve"> 2021年12月23日17:00</w:t>
      </w:r>
      <w:r>
        <w:rPr>
          <w:rFonts w:hint="eastAsia" w:ascii="仿宋_GB2312" w:hAnsi="仿宋_GB2312" w:eastAsia="仿宋_GB2312" w:cs="仿宋_GB2312"/>
          <w:sz w:val="32"/>
          <w:szCs w:val="32"/>
          <w:lang w:val="en-US" w:eastAsia="zh-CN"/>
        </w:rPr>
        <w:t>前通过本函“八、联系人与联系方式”中的邮箱向医院招标办提交报名信息，报名信息包括参与具体项目名称、公司全称、办公固话、电子信箱、公司地址、联系人、联系人手机号码。</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通过与供应商进行沟通与谈判，掌握相关产品与服务的质量层次、价格水平、配置方案、保障体系、市场应用等相关信息，为未来实施采购提供质量与服务标准、价格上限等依据。</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论证采取远程办公形式，参照竞争性蹉商方式，交流的顺序按照报名的先后顺序反向进行。签到和现场沟通使用电话或者办公软件联络方式。项目被授权人和报名联系人在论证当天</w:t>
      </w:r>
      <w:r>
        <w:rPr>
          <w:rFonts w:hint="eastAsia" w:ascii="仿宋_GB2312" w:hAnsi="仿宋_GB2312" w:eastAsia="仿宋_GB2312" w:cs="仿宋_GB2312"/>
          <w:color w:val="auto"/>
          <w:sz w:val="32"/>
          <w:szCs w:val="32"/>
          <w:u w:val="single"/>
          <w:lang w:val="en-US" w:eastAsia="zh-CN"/>
        </w:rPr>
        <w:t>13:30至17:00</w:t>
      </w:r>
      <w:r>
        <w:rPr>
          <w:rFonts w:hint="eastAsia" w:ascii="仿宋_GB2312" w:hAnsi="仿宋_GB2312" w:eastAsia="仿宋_GB2312" w:cs="仿宋_GB2312"/>
          <w:color w:val="auto"/>
          <w:sz w:val="32"/>
          <w:szCs w:val="32"/>
          <w:u w:val="none"/>
          <w:lang w:val="en-US" w:eastAsia="zh-CN"/>
        </w:rPr>
        <w:t>保持通信畅通。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拟参加的供应商应当将资料送达威海市立第三医院招标办王博，或者将资料邮寄至：威海市齐鲁大道80号 威海市立第三医院 王博 132 7631 6387，并确保资料能于</w:t>
      </w:r>
      <w:r>
        <w:rPr>
          <w:rFonts w:hint="eastAsia" w:ascii="仿宋_GB2312" w:hAnsi="仿宋_GB2312" w:eastAsia="仿宋_GB2312" w:cs="仿宋_GB2312"/>
          <w:sz w:val="32"/>
          <w:szCs w:val="32"/>
          <w:u w:val="single"/>
          <w:lang w:val="en-US" w:eastAsia="zh-CN"/>
        </w:rPr>
        <w:t>2021年12月24日12：00</w:t>
      </w:r>
      <w:r>
        <w:rPr>
          <w:rFonts w:hint="eastAsia" w:ascii="仿宋_GB2312" w:hAnsi="仿宋_GB2312" w:eastAsia="仿宋_GB2312" w:cs="仿宋_GB2312"/>
          <w:sz w:val="32"/>
          <w:szCs w:val="32"/>
          <w:lang w:val="en-US" w:eastAsia="zh-CN"/>
        </w:rPr>
        <w:t>前送达。</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（一）供应商资质</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营业执照</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val="en-US" w:eastAsia="zh-CN"/>
        </w:rPr>
        <w:t>1</w:t>
      </w:r>
      <w:r>
        <w:rPr>
          <w:rFonts w:hint="eastAsia" w:ascii="仿宋_GB2312" w:eastAsia="仿宋_GB2312"/>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2.如，服务属于经营行政许可管理或者经营强制认证管理的，提供相关资质复印件</w:t>
      </w:r>
      <w:r>
        <w:rPr>
          <w:rFonts w:hint="eastAsia" w:ascii="仿宋_GB2312" w:eastAsia="仿宋_GB2312"/>
          <w:color w:val="auto"/>
          <w:sz w:val="32"/>
          <w:szCs w:val="32"/>
          <w:lang w:val="en-US" w:eastAsia="zh-CN"/>
        </w:rPr>
        <w:t>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（二）参与人员资质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附件1格式的《法人授权委托书》1份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（三）报价单</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附件2格式的《报价单》4份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四）服务方案与质量保障措施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自定义格式A4纸反正面打印的《服务方案与质量保障措施》4份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五）公司业绩</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附件3格式的供应商《对外服务情况表》4份</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sz w:val="32"/>
          <w:szCs w:val="32"/>
          <w:lang w:val="en-US" w:eastAsia="zh-CN"/>
        </w:rPr>
        <w:t>罗列的顺序为威海区域在前，其他区域在后，罗列的数量不超过20家。</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以上（一）至（五）严格按照要求的种类、数量、顺序整理为一套资料（严禁乱提供非本函要求的资料），每页加盖参与论证公司的红章，使用</w:t>
      </w:r>
      <w:r>
        <w:rPr>
          <w:rFonts w:hint="eastAsia" w:ascii="仿宋_GB2312" w:hAnsi="仿宋_GB2312" w:eastAsia="仿宋_GB2312" w:cs="仿宋_GB2312"/>
          <w:b w:val="0"/>
          <w:bCs w:val="0"/>
          <w:color w:val="auto"/>
          <w:sz w:val="32"/>
          <w:szCs w:val="32"/>
          <w:lang w:val="en-US" w:eastAsia="zh-CN"/>
        </w:rPr>
        <w:t>长尾夹（首选）或拉杆夹固定。</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（六）供应商实力佐证材料</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如有，可提供不超过3种的证书或者其他单页材料复印件各1份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七）其他资料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原则上不需提供其他资料，但如果供应商认为确有必要追加提供的，可提供不超过2种、每种1份的其他资料。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医院接受供应商在论证前的合理时间来院勘查与咨询，但在来院前需要与医院招标办联系确定相关事宜。</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Style w:val="8"/>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法人授权委托书</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3.对外服务情况表</w:t>
      </w:r>
    </w:p>
    <w:p>
      <w:pPr>
        <w:ind w:firstLine="1120" w:firstLineChars="400"/>
        <w:rPr>
          <w:rFonts w:hint="eastAsia" w:ascii="仿宋_GB2312" w:hAnsi="仿宋_GB2312" w:eastAsia="仿宋_GB2312" w:cs="仿宋_GB2312"/>
          <w:sz w:val="28"/>
          <w:szCs w:val="28"/>
          <w:lang w:val="en-US" w:eastAsia="zh-CN"/>
        </w:rPr>
      </w:pPr>
    </w:p>
    <w:p>
      <w:pPr>
        <w:ind w:firstLine="1120" w:firstLineChars="400"/>
        <w:rPr>
          <w:rFonts w:hint="eastAsia" w:ascii="仿宋_GB2312" w:hAnsi="仿宋_GB2312" w:eastAsia="仿宋_GB2312" w:cs="仿宋_GB2312"/>
          <w:sz w:val="28"/>
          <w:szCs w:val="28"/>
          <w:lang w:val="en-US" w:eastAsia="zh-CN"/>
        </w:rPr>
      </w:pPr>
    </w:p>
    <w:p>
      <w:pPr>
        <w:ind w:firstLine="3520" w:firstLineChars="1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2021年12月17日</w:t>
      </w:r>
    </w:p>
    <w:p>
      <w:pPr>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br w:type="page"/>
      </w:r>
    </w:p>
    <w:p>
      <w:pPr>
        <w:pStyle w:val="4"/>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4"/>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（项目编号）项目的综合论证，并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960" w:firstLineChars="3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960" w:firstLineChars="3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授权单位盖章：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lang w:val="en-US" w:eastAsia="zh-CN"/>
        </w:rPr>
        <w:t xml:space="preserve">  </w:t>
      </w: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0" w:hRule="atLeast"/>
        </w:trPr>
        <w:tc>
          <w:tcPr>
            <w:tcW w:w="8522" w:type="dxa"/>
          </w:tcPr>
          <w:p>
            <w:pPr>
              <w:pStyle w:val="4"/>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13"/>
          <w:szCs w:val="13"/>
          <w:lang w:val="en-US" w:eastAsia="zh-CN"/>
        </w:rPr>
      </w:pPr>
      <w:r>
        <w:rPr>
          <w:rFonts w:hint="eastAsia" w:ascii="仿宋_GB2312" w:hAnsi="仿宋_GB2312" w:eastAsia="仿宋_GB2312" w:cs="仿宋_GB2312"/>
          <w:sz w:val="13"/>
          <w:szCs w:val="13"/>
          <w:lang w:val="en-US" w:eastAsia="zh-CN"/>
        </w:rPr>
        <w:br w:type="page"/>
      </w:r>
    </w:p>
    <w:p>
      <w:pPr>
        <w:pStyle w:val="4"/>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lang w:val="en-US" w:eastAsia="zh-CN"/>
        </w:rPr>
      </w:pPr>
      <w:r>
        <w:rPr>
          <w:rFonts w:hint="eastAsia" w:ascii="仿宋_GB2312" w:hAnsi="仿宋_GB2312" w:eastAsia="仿宋_GB2312" w:cs="仿宋_GB2312"/>
          <w:b/>
          <w:bCs w:val="0"/>
          <w:sz w:val="44"/>
          <w:szCs w:val="44"/>
          <w:lang w:val="en-US" w:eastAsia="zh-CN"/>
        </w:rPr>
        <w:t>报价单</w:t>
      </w:r>
    </w:p>
    <w:p>
      <w:pPr>
        <w:jc w:val="both"/>
        <w:rPr>
          <w:rFonts w:hint="eastAsia" w:ascii="仿宋_GB2312" w:hAnsi="仿宋_GB2312" w:eastAsia="仿宋_GB2312" w:cs="仿宋_GB2312"/>
          <w:sz w:val="32"/>
          <w:szCs w:val="32"/>
          <w:lang w:val="en-US" w:eastAsia="zh-CN"/>
        </w:rPr>
      </w:pPr>
    </w:p>
    <w:tbl>
      <w:tblPr>
        <w:tblStyle w:val="10"/>
        <w:tblW w:w="84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975"/>
        <w:gridCol w:w="1125"/>
        <w:gridCol w:w="1830"/>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16" w:type="dxa"/>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21"/>
                <w:szCs w:val="21"/>
                <w:vertAlign w:val="baseline"/>
                <w:lang w:val="en-US" w:eastAsia="zh-CN"/>
              </w:rPr>
            </w:pPr>
            <w:r>
              <w:rPr>
                <w:rFonts w:hint="eastAsia" w:ascii="仿宋_GB2312" w:hAnsi="仿宋_GB2312" w:eastAsia="仿宋_GB2312" w:cs="仿宋_GB2312"/>
                <w:b/>
                <w:bCs w:val="0"/>
                <w:sz w:val="21"/>
                <w:szCs w:val="21"/>
                <w:vertAlign w:val="baseline"/>
                <w:lang w:val="en-US" w:eastAsia="zh-CN"/>
              </w:rPr>
              <w:t>项目</w:t>
            </w:r>
          </w:p>
        </w:tc>
        <w:tc>
          <w:tcPr>
            <w:tcW w:w="975" w:type="dxa"/>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21"/>
                <w:szCs w:val="21"/>
                <w:vertAlign w:val="baseline"/>
                <w:lang w:val="en-US" w:eastAsia="zh-CN"/>
              </w:rPr>
            </w:pPr>
            <w:r>
              <w:rPr>
                <w:rFonts w:hint="eastAsia" w:ascii="仿宋_GB2312" w:hAnsi="仿宋_GB2312" w:eastAsia="仿宋_GB2312" w:cs="仿宋_GB2312"/>
                <w:b/>
                <w:bCs w:val="0"/>
                <w:sz w:val="21"/>
                <w:szCs w:val="21"/>
                <w:vertAlign w:val="baseline"/>
                <w:lang w:val="en-US" w:eastAsia="zh-CN"/>
              </w:rPr>
              <w:t>单位</w:t>
            </w:r>
          </w:p>
        </w:tc>
        <w:tc>
          <w:tcPr>
            <w:tcW w:w="1125" w:type="dxa"/>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21"/>
                <w:szCs w:val="21"/>
                <w:vertAlign w:val="baseline"/>
                <w:lang w:val="en-US" w:eastAsia="zh-CN"/>
              </w:rPr>
            </w:pPr>
            <w:r>
              <w:rPr>
                <w:rFonts w:hint="eastAsia" w:ascii="仿宋_GB2312" w:hAnsi="仿宋_GB2312" w:eastAsia="仿宋_GB2312" w:cs="仿宋_GB2312"/>
                <w:b/>
                <w:bCs w:val="0"/>
                <w:sz w:val="21"/>
                <w:szCs w:val="21"/>
                <w:vertAlign w:val="baseline"/>
                <w:lang w:val="en-US" w:eastAsia="zh-CN"/>
              </w:rPr>
              <w:t>数量</w:t>
            </w:r>
          </w:p>
        </w:tc>
        <w:tc>
          <w:tcPr>
            <w:tcW w:w="1830" w:type="dxa"/>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21"/>
                <w:szCs w:val="21"/>
                <w:vertAlign w:val="baseline"/>
                <w:lang w:val="en-US" w:eastAsia="zh-CN"/>
              </w:rPr>
            </w:pPr>
            <w:r>
              <w:rPr>
                <w:rFonts w:hint="eastAsia" w:ascii="仿宋_GB2312" w:hAnsi="仿宋_GB2312" w:eastAsia="仿宋_GB2312" w:cs="仿宋_GB2312"/>
                <w:b/>
                <w:bCs w:val="0"/>
                <w:sz w:val="21"/>
                <w:szCs w:val="21"/>
                <w:vertAlign w:val="baseline"/>
                <w:lang w:val="en-US" w:eastAsia="zh-CN"/>
              </w:rPr>
              <w:t>单价（元）</w:t>
            </w:r>
          </w:p>
        </w:tc>
        <w:tc>
          <w:tcPr>
            <w:tcW w:w="1650" w:type="dxa"/>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21"/>
                <w:szCs w:val="21"/>
                <w:vertAlign w:val="baseline"/>
                <w:lang w:val="en-US" w:eastAsia="zh-CN"/>
              </w:rPr>
            </w:pPr>
            <w:r>
              <w:rPr>
                <w:rFonts w:hint="eastAsia" w:ascii="仿宋_GB2312" w:hAnsi="仿宋_GB2312" w:eastAsia="仿宋_GB2312" w:cs="仿宋_GB2312"/>
                <w:b/>
                <w:bCs w:val="0"/>
                <w:sz w:val="21"/>
                <w:szCs w:val="21"/>
                <w:vertAlign w:val="baseline"/>
                <w:lang w:val="en-US" w:eastAsia="zh-CN"/>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2916" w:type="dxa"/>
            <w:vAlign w:val="center"/>
          </w:tcPr>
          <w:p>
            <w:pPr>
              <w:pStyle w:val="4"/>
              <w:keepNext w:val="0"/>
              <w:keepLines w:val="0"/>
              <w:pageBreakBefore w:val="0"/>
              <w:widowControl w:val="0"/>
              <w:kinsoku/>
              <w:wordWrap w:val="0"/>
              <w:overflowPunct/>
              <w:topLinePunct w:val="0"/>
              <w:autoSpaceDE/>
              <w:autoSpaceDN/>
              <w:bidi w:val="0"/>
              <w:spacing w:line="520" w:lineRule="exact"/>
              <w:jc w:val="both"/>
              <w:textAlignment w:val="auto"/>
              <w:rPr>
                <w:rFonts w:hint="eastAsia" w:ascii="仿宋_GB2312" w:hAnsi="仿宋_GB2312" w:eastAsia="仿宋_GB2312" w:cs="仿宋_GB2312"/>
                <w:b w:val="0"/>
                <w:bCs/>
                <w:sz w:val="21"/>
                <w:szCs w:val="21"/>
                <w:vertAlign w:val="baseline"/>
                <w:lang w:val="en-US" w:eastAsia="zh-CN"/>
              </w:rPr>
            </w:pPr>
            <w:r>
              <w:rPr>
                <w:rFonts w:hint="eastAsia" w:ascii="仿宋_GB2312" w:hAnsi="仿宋_GB2312" w:eastAsia="仿宋_GB2312" w:cs="仿宋_GB2312"/>
                <w:b w:val="0"/>
                <w:bCs/>
                <w:sz w:val="21"/>
                <w:szCs w:val="21"/>
                <w:vertAlign w:val="baseline"/>
                <w:lang w:val="en-US" w:eastAsia="zh-CN"/>
              </w:rPr>
              <w:t>药物临床试验资质认证培训</w:t>
            </w:r>
          </w:p>
        </w:tc>
        <w:tc>
          <w:tcPr>
            <w:tcW w:w="975" w:type="dxa"/>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val="0"/>
                <w:bCs/>
                <w:sz w:val="21"/>
                <w:szCs w:val="21"/>
                <w:vertAlign w:val="baseline"/>
                <w:lang w:val="en-US" w:eastAsia="zh-CN"/>
              </w:rPr>
            </w:pPr>
            <w:r>
              <w:rPr>
                <w:rFonts w:hint="eastAsia" w:ascii="仿宋_GB2312" w:hAnsi="仿宋_GB2312" w:eastAsia="仿宋_GB2312" w:cs="仿宋_GB2312"/>
                <w:b w:val="0"/>
                <w:bCs/>
                <w:sz w:val="21"/>
                <w:szCs w:val="21"/>
                <w:vertAlign w:val="baseline"/>
                <w:lang w:val="en-US" w:eastAsia="zh-CN"/>
              </w:rPr>
              <w:t>科室</w:t>
            </w:r>
          </w:p>
        </w:tc>
        <w:tc>
          <w:tcPr>
            <w:tcW w:w="1125" w:type="dxa"/>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val="0"/>
                <w:bCs/>
                <w:sz w:val="21"/>
                <w:szCs w:val="21"/>
                <w:vertAlign w:val="baseline"/>
                <w:lang w:val="en-US" w:eastAsia="zh-CN"/>
              </w:rPr>
            </w:pPr>
            <w:r>
              <w:rPr>
                <w:rFonts w:hint="eastAsia" w:ascii="仿宋_GB2312" w:hAnsi="仿宋_GB2312" w:eastAsia="仿宋_GB2312" w:cs="仿宋_GB2312"/>
                <w:b w:val="0"/>
                <w:bCs/>
                <w:sz w:val="21"/>
                <w:szCs w:val="21"/>
                <w:vertAlign w:val="baseline"/>
                <w:lang w:val="en-US" w:eastAsia="zh-CN"/>
              </w:rPr>
              <w:t>5</w:t>
            </w:r>
          </w:p>
        </w:tc>
        <w:tc>
          <w:tcPr>
            <w:tcW w:w="1830" w:type="dxa"/>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val="0"/>
                <w:bCs/>
                <w:sz w:val="21"/>
                <w:szCs w:val="21"/>
                <w:vertAlign w:val="baseline"/>
                <w:lang w:val="en-US" w:eastAsia="zh-CN"/>
              </w:rPr>
            </w:pPr>
          </w:p>
        </w:tc>
        <w:tc>
          <w:tcPr>
            <w:tcW w:w="1650" w:type="dxa"/>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val="0"/>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16" w:type="dxa"/>
            <w:vAlign w:val="center"/>
          </w:tcPr>
          <w:p>
            <w:pPr>
              <w:pStyle w:val="4"/>
              <w:keepNext w:val="0"/>
              <w:keepLines w:val="0"/>
              <w:pageBreakBefore w:val="0"/>
              <w:widowControl w:val="0"/>
              <w:kinsoku/>
              <w:wordWrap w:val="0"/>
              <w:overflowPunct/>
              <w:topLinePunct w:val="0"/>
              <w:autoSpaceDE/>
              <w:autoSpaceDN/>
              <w:bidi w:val="0"/>
              <w:spacing w:line="520" w:lineRule="exact"/>
              <w:jc w:val="both"/>
              <w:textAlignment w:val="auto"/>
              <w:rPr>
                <w:rFonts w:hint="eastAsia" w:ascii="仿宋_GB2312" w:hAnsi="仿宋_GB2312" w:eastAsia="仿宋_GB2312" w:cs="仿宋_GB2312"/>
                <w:b w:val="0"/>
                <w:bCs/>
                <w:sz w:val="21"/>
                <w:szCs w:val="21"/>
                <w:vertAlign w:val="baseline"/>
                <w:lang w:val="en-US" w:eastAsia="zh-CN"/>
              </w:rPr>
            </w:pPr>
            <w:r>
              <w:rPr>
                <w:rFonts w:hint="eastAsia" w:ascii="仿宋_GB2312" w:hAnsi="仿宋_GB2312" w:eastAsia="仿宋_GB2312" w:cs="仿宋_GB2312"/>
                <w:b w:val="0"/>
                <w:bCs/>
                <w:sz w:val="21"/>
                <w:szCs w:val="21"/>
                <w:vertAlign w:val="baseline"/>
                <w:lang w:val="en-US" w:eastAsia="zh-CN"/>
              </w:rPr>
              <w:t>器械临床试验资质认证培训</w:t>
            </w:r>
          </w:p>
        </w:tc>
        <w:tc>
          <w:tcPr>
            <w:tcW w:w="975" w:type="dxa"/>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val="0"/>
                <w:bCs/>
                <w:sz w:val="21"/>
                <w:szCs w:val="21"/>
                <w:vertAlign w:val="baseline"/>
                <w:lang w:val="en-US" w:eastAsia="zh-CN"/>
              </w:rPr>
            </w:pPr>
            <w:r>
              <w:rPr>
                <w:rFonts w:hint="eastAsia" w:ascii="仿宋_GB2312" w:hAnsi="仿宋_GB2312" w:eastAsia="仿宋_GB2312" w:cs="仿宋_GB2312"/>
                <w:b w:val="0"/>
                <w:bCs/>
                <w:sz w:val="21"/>
                <w:szCs w:val="21"/>
                <w:vertAlign w:val="baseline"/>
                <w:lang w:val="en-US" w:eastAsia="zh-CN"/>
              </w:rPr>
              <w:t>科室</w:t>
            </w:r>
          </w:p>
        </w:tc>
        <w:tc>
          <w:tcPr>
            <w:tcW w:w="1125" w:type="dxa"/>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val="0"/>
                <w:bCs/>
                <w:sz w:val="21"/>
                <w:szCs w:val="21"/>
                <w:vertAlign w:val="baseline"/>
                <w:lang w:val="en-US" w:eastAsia="zh-CN"/>
              </w:rPr>
            </w:pPr>
            <w:r>
              <w:rPr>
                <w:rFonts w:hint="eastAsia" w:ascii="仿宋_GB2312" w:hAnsi="仿宋_GB2312" w:eastAsia="仿宋_GB2312" w:cs="仿宋_GB2312"/>
                <w:b w:val="0"/>
                <w:bCs/>
                <w:sz w:val="21"/>
                <w:szCs w:val="21"/>
                <w:vertAlign w:val="baseline"/>
                <w:lang w:val="en-US" w:eastAsia="zh-CN"/>
              </w:rPr>
              <w:t>4</w:t>
            </w:r>
          </w:p>
        </w:tc>
        <w:tc>
          <w:tcPr>
            <w:tcW w:w="1830" w:type="dxa"/>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val="0"/>
                <w:bCs/>
                <w:sz w:val="21"/>
                <w:szCs w:val="21"/>
                <w:vertAlign w:val="baseline"/>
                <w:lang w:val="en-US" w:eastAsia="zh-CN"/>
              </w:rPr>
            </w:pPr>
          </w:p>
        </w:tc>
        <w:tc>
          <w:tcPr>
            <w:tcW w:w="1650" w:type="dxa"/>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val="0"/>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6" w:type="dxa"/>
            <w:gridSpan w:val="4"/>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21"/>
                <w:szCs w:val="21"/>
                <w:vertAlign w:val="baseline"/>
                <w:lang w:val="en-US" w:eastAsia="zh-CN"/>
              </w:rPr>
            </w:pPr>
            <w:r>
              <w:rPr>
                <w:rFonts w:hint="eastAsia" w:ascii="仿宋_GB2312" w:hAnsi="仿宋_GB2312" w:eastAsia="仿宋_GB2312" w:cs="仿宋_GB2312"/>
                <w:b/>
                <w:bCs w:val="0"/>
                <w:sz w:val="21"/>
                <w:szCs w:val="21"/>
                <w:vertAlign w:val="baseline"/>
                <w:lang w:val="en-US" w:eastAsia="zh-CN"/>
              </w:rPr>
              <w:t>合计金额（元）</w:t>
            </w:r>
          </w:p>
        </w:tc>
        <w:tc>
          <w:tcPr>
            <w:tcW w:w="1650" w:type="dxa"/>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21"/>
                <w:szCs w:val="21"/>
                <w:vertAlign w:val="baseline"/>
                <w:lang w:val="en-US" w:eastAsia="zh-CN"/>
              </w:rPr>
            </w:pPr>
          </w:p>
        </w:tc>
      </w:tr>
    </w:tbl>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关于付款方式的要求和对于报价的说明（如有）：</w:t>
      </w:r>
    </w:p>
    <w:p>
      <w:pPr>
        <w:jc w:val="both"/>
        <w:rPr>
          <w:rFonts w:hint="eastAsia" w:ascii="仿宋_GB2312" w:hAnsi="仿宋_GB2312" w:eastAsia="仿宋_GB2312" w:cs="仿宋_GB2312"/>
          <w:sz w:val="32"/>
          <w:szCs w:val="32"/>
          <w:lang w:val="en-US" w:eastAsia="zh-CN"/>
        </w:rPr>
      </w:pPr>
      <w:bookmarkStart w:id="0" w:name="_GoBack"/>
      <w:bookmarkEnd w:id="0"/>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b/>
          <w:bCs w:val="0"/>
          <w:sz w:val="44"/>
          <w:szCs w:val="44"/>
          <w:lang w:val="en-US" w:eastAsia="zh-CN"/>
        </w:rPr>
      </w:pPr>
      <w:r>
        <w:rPr>
          <w:rFonts w:hint="eastAsia" w:ascii="仿宋_GB2312" w:hAnsi="仿宋_GB2312" w:eastAsia="仿宋_GB2312" w:cs="仿宋_GB2312"/>
          <w:sz w:val="32"/>
          <w:szCs w:val="32"/>
          <w:lang w:val="en-US" w:eastAsia="zh-CN"/>
        </w:rPr>
        <w:t>参与供应商盖章：</w:t>
      </w:r>
    </w:p>
    <w:p>
      <w:pPr>
        <w:pStyle w:val="4"/>
        <w:spacing w:line="520" w:lineRule="exact"/>
        <w:jc w:val="both"/>
        <w:rPr>
          <w:rFonts w:hint="eastAsia" w:ascii="仿宋_GB2312" w:hAnsi="仿宋_GB2312" w:eastAsia="仿宋_GB2312" w:cs="仿宋_GB2312"/>
          <w:b w:val="0"/>
          <w:bCs/>
          <w:sz w:val="32"/>
          <w:szCs w:val="32"/>
          <w:lang w:val="en-US" w:eastAsia="zh-CN"/>
        </w:rPr>
        <w:sectPr>
          <w:pgSz w:w="11906" w:h="16838"/>
          <w:pgMar w:top="1440" w:right="1803" w:bottom="1440" w:left="1803" w:header="851" w:footer="992" w:gutter="0"/>
          <w:cols w:space="0" w:num="1"/>
          <w:rtlGutter w:val="0"/>
          <w:docGrid w:type="lines" w:linePitch="317" w:charSpace="0"/>
        </w:sectPr>
      </w:pP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对外服务情况表</w:t>
      </w:r>
    </w:p>
    <w:tbl>
      <w:tblPr>
        <w:tblStyle w:val="10"/>
        <w:tblpPr w:leftFromText="180" w:rightFromText="180" w:vertAnchor="text" w:horzAnchor="page" w:tblpX="1697" w:tblpY="146"/>
        <w:tblOverlap w:val="never"/>
        <w:tblW w:w="84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2958"/>
        <w:gridCol w:w="1260"/>
        <w:gridCol w:w="1515"/>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号</w:t>
            </w:r>
          </w:p>
        </w:tc>
        <w:tc>
          <w:tcPr>
            <w:tcW w:w="2958"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服务单位</w:t>
            </w:r>
          </w:p>
        </w:tc>
        <w:tc>
          <w:tcPr>
            <w:tcW w:w="126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服务年度</w:t>
            </w:r>
          </w:p>
        </w:tc>
        <w:tc>
          <w:tcPr>
            <w:tcW w:w="151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213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bl>
    <w:p>
      <w:pPr>
        <w:rPr>
          <w:rFonts w:hint="eastAsia" w:ascii="仿宋_GB2312" w:hAnsi="仿宋_GB2312" w:eastAsia="仿宋_GB2312" w:cs="仿宋_GB2312"/>
          <w:b w:val="0"/>
          <w:bCs w:val="0"/>
          <w:sz w:val="32"/>
          <w:szCs w:val="32"/>
          <w:lang w:val="en-US" w:eastAsia="zh-CN"/>
        </w:rPr>
      </w:pPr>
    </w:p>
    <w:p>
      <w:pPr>
        <w:rPr>
          <w:rFonts w:hint="eastAsia"/>
          <w:lang w:val="en-US" w:eastAsia="zh-CN"/>
        </w:rPr>
      </w:pPr>
      <w:r>
        <w:rPr>
          <w:rFonts w:hint="eastAsia" w:ascii="仿宋_GB2312" w:hAnsi="仿宋_GB2312" w:eastAsia="仿宋_GB2312" w:cs="仿宋_GB2312"/>
          <w:b w:val="0"/>
          <w:bCs w:val="0"/>
          <w:sz w:val="32"/>
          <w:szCs w:val="32"/>
          <w:lang w:val="en-US" w:eastAsia="zh-CN"/>
        </w:rPr>
        <w:t>参与供应商盖章：</w:t>
      </w: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06783C"/>
    <w:rsid w:val="041012AE"/>
    <w:rsid w:val="056E3308"/>
    <w:rsid w:val="06616A6F"/>
    <w:rsid w:val="06637264"/>
    <w:rsid w:val="0A5B73EA"/>
    <w:rsid w:val="0A7105F0"/>
    <w:rsid w:val="0B50556E"/>
    <w:rsid w:val="0BC2087A"/>
    <w:rsid w:val="0C0E2D62"/>
    <w:rsid w:val="0E441926"/>
    <w:rsid w:val="0E5674D9"/>
    <w:rsid w:val="0EB466F8"/>
    <w:rsid w:val="0FE867C1"/>
    <w:rsid w:val="0FFB437A"/>
    <w:rsid w:val="112A7A9F"/>
    <w:rsid w:val="125F6671"/>
    <w:rsid w:val="19F52E2A"/>
    <w:rsid w:val="209100DD"/>
    <w:rsid w:val="21E03505"/>
    <w:rsid w:val="23597745"/>
    <w:rsid w:val="27C129C2"/>
    <w:rsid w:val="28460323"/>
    <w:rsid w:val="29B47B51"/>
    <w:rsid w:val="2BC4525D"/>
    <w:rsid w:val="2BF70ED7"/>
    <w:rsid w:val="2D067FF6"/>
    <w:rsid w:val="2D453ECC"/>
    <w:rsid w:val="2E127BEC"/>
    <w:rsid w:val="2ED737AD"/>
    <w:rsid w:val="32EB18B3"/>
    <w:rsid w:val="33B8159B"/>
    <w:rsid w:val="33DD3CC2"/>
    <w:rsid w:val="3507227E"/>
    <w:rsid w:val="35B14893"/>
    <w:rsid w:val="364C6A4B"/>
    <w:rsid w:val="378B19B6"/>
    <w:rsid w:val="3AB050B1"/>
    <w:rsid w:val="3BE22435"/>
    <w:rsid w:val="3C732980"/>
    <w:rsid w:val="3E7F198B"/>
    <w:rsid w:val="40A34F94"/>
    <w:rsid w:val="453C4CFD"/>
    <w:rsid w:val="46F964AC"/>
    <w:rsid w:val="501713DB"/>
    <w:rsid w:val="5026344A"/>
    <w:rsid w:val="5037594C"/>
    <w:rsid w:val="51491C22"/>
    <w:rsid w:val="518542D3"/>
    <w:rsid w:val="518E7743"/>
    <w:rsid w:val="51965E4E"/>
    <w:rsid w:val="51F17CF9"/>
    <w:rsid w:val="51FE2564"/>
    <w:rsid w:val="528D6E2B"/>
    <w:rsid w:val="54571857"/>
    <w:rsid w:val="55223F2F"/>
    <w:rsid w:val="5712074C"/>
    <w:rsid w:val="5C1E32DA"/>
    <w:rsid w:val="5C6309D2"/>
    <w:rsid w:val="5CEE3FCD"/>
    <w:rsid w:val="5D0A749E"/>
    <w:rsid w:val="5D9B7C91"/>
    <w:rsid w:val="5EC42E35"/>
    <w:rsid w:val="618A062A"/>
    <w:rsid w:val="639C74DA"/>
    <w:rsid w:val="63CB7229"/>
    <w:rsid w:val="64F07963"/>
    <w:rsid w:val="67782713"/>
    <w:rsid w:val="69252342"/>
    <w:rsid w:val="69CB420D"/>
    <w:rsid w:val="69D86BC2"/>
    <w:rsid w:val="6B870862"/>
    <w:rsid w:val="6BAB4EF0"/>
    <w:rsid w:val="6D373CB7"/>
    <w:rsid w:val="6DF6410C"/>
    <w:rsid w:val="6E955349"/>
    <w:rsid w:val="71E73A79"/>
    <w:rsid w:val="72DB2E88"/>
    <w:rsid w:val="735D5523"/>
    <w:rsid w:val="76F774A3"/>
    <w:rsid w:val="77D17783"/>
    <w:rsid w:val="78080ACE"/>
    <w:rsid w:val="790D0676"/>
    <w:rsid w:val="7A9F7EA6"/>
    <w:rsid w:val="7BBD6CAF"/>
    <w:rsid w:val="7E33156A"/>
    <w:rsid w:val="7FD33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Plain Text"/>
    <w:basedOn w:val="1"/>
    <w:qFormat/>
    <w:uiPriority w:val="0"/>
    <w:rPr>
      <w:rFonts w:ascii="宋体" w:hAnsi="Courier New"/>
      <w:szCs w:val="20"/>
    </w:rPr>
  </w:style>
  <w:style w:type="paragraph" w:styleId="5">
    <w:name w:val="footer"/>
    <w:basedOn w:val="1"/>
    <w:semiHidden/>
    <w:unhideWhenUsed/>
    <w:qFormat/>
    <w:uiPriority w:val="99"/>
    <w:pPr>
      <w:tabs>
        <w:tab w:val="center" w:pos="4153"/>
        <w:tab w:val="right" w:pos="8306"/>
      </w:tabs>
      <w:snapToGrid w:val="0"/>
      <w:jc w:val="left"/>
    </w:pPr>
    <w:rPr>
      <w:sz w:val="18"/>
      <w:szCs w:val="18"/>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8">
    <w:name w:val="Hyperlink"/>
    <w:basedOn w:val="7"/>
    <w:semiHidden/>
    <w:unhideWhenUsed/>
    <w:qFormat/>
    <w:uiPriority w:val="99"/>
    <w:rPr>
      <w:color w:val="0000FF"/>
      <w:u w:val="single"/>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font01"/>
    <w:basedOn w:val="7"/>
    <w:qFormat/>
    <w:uiPriority w:val="0"/>
    <w:rPr>
      <w:rFonts w:hint="default" w:ascii="Times New Roman" w:hAnsi="Times New Roman" w:cs="Times New Roman"/>
      <w:color w:val="0000FF"/>
      <w:sz w:val="21"/>
      <w:szCs w:val="21"/>
      <w:u w:val="none"/>
    </w:rPr>
  </w:style>
  <w:style w:type="character" w:customStyle="1" w:styleId="12">
    <w:name w:val="font21"/>
    <w:basedOn w:val="7"/>
    <w:qFormat/>
    <w:uiPriority w:val="0"/>
    <w:rPr>
      <w:rFonts w:hint="eastAsia" w:ascii="宋体" w:hAnsi="宋体" w:eastAsia="宋体" w:cs="宋体"/>
      <w:color w:val="0000FF"/>
      <w:sz w:val="21"/>
      <w:szCs w:val="21"/>
      <w:u w:val="none"/>
    </w:rPr>
  </w:style>
  <w:style w:type="character" w:customStyle="1" w:styleId="13">
    <w:name w:val="font11"/>
    <w:basedOn w:val="7"/>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2021-12-17T00:49:52Z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